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EB" w:rsidRDefault="003A61EB" w:rsidP="003A6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VICTOR MANUEL MARTÍNEZ JUÁREZ</w:t>
      </w:r>
    </w:p>
    <w:p w:rsidR="003A61EB" w:rsidRDefault="003A61EB" w:rsidP="003A61EB">
      <w:pPr>
        <w:jc w:val="both"/>
        <w:rPr>
          <w:rFonts w:ascii="Arial" w:hAnsi="Arial" w:cs="Arial"/>
        </w:rPr>
      </w:pPr>
    </w:p>
    <w:p w:rsidR="003A61EB" w:rsidRDefault="003A61EB" w:rsidP="003A61EB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Profesor Investigador de Tiempo completo del Área Académica de Medicina Veterinaria y Zootecnia; Instituto de Ciencias Agropecuarias, Universidad Autónoma del estado de Hidalgo, México. Doctor en Ciencias </w:t>
      </w:r>
      <w:r>
        <w:rPr>
          <w:rFonts w:ascii="Arial" w:hAnsi="Arial" w:cs="Arial"/>
          <w:lang w:val="es-ES_tradnl"/>
        </w:rPr>
        <w:t xml:space="preserve">con especialidad en Biotecnología. </w:t>
      </w:r>
      <w:proofErr w:type="spellStart"/>
      <w:r>
        <w:rPr>
          <w:rFonts w:ascii="Arial" w:hAnsi="Arial" w:cs="Arial"/>
          <w:lang w:val="es-ES_tradnl"/>
        </w:rPr>
        <w:t>Cinvestav</w:t>
      </w:r>
      <w:proofErr w:type="spellEnd"/>
      <w:r>
        <w:rPr>
          <w:rFonts w:ascii="Arial" w:hAnsi="Arial" w:cs="Arial"/>
          <w:lang w:val="es-ES_tradnl"/>
        </w:rPr>
        <w:t xml:space="preserve"> Unidad Zacatenco. Asignaturas impartidas de Ecología, Bacteriología y enfermedades bacterianas, Farmacología, Biología celular y molecular, Toxicología Participación en la materia de posgrado en alimentos, de biotecnología de frutas y hortalizas. </w:t>
      </w:r>
      <w:r>
        <w:rPr>
          <w:rFonts w:ascii="Arial" w:hAnsi="Arial" w:cs="Arial"/>
        </w:rPr>
        <w:t xml:space="preserve">Diferentes publicaciones Nacionales e Internacionales y Presentaciones en congresos Nacionales e Internacionales. Líneas de Investigación: Selección de péptidos </w:t>
      </w:r>
      <w:proofErr w:type="spellStart"/>
      <w:r>
        <w:rPr>
          <w:rFonts w:ascii="Arial" w:hAnsi="Arial" w:cs="Arial"/>
        </w:rPr>
        <w:t>inmunogénicos</w:t>
      </w:r>
      <w:proofErr w:type="spellEnd"/>
      <w:r>
        <w:rPr>
          <w:rFonts w:ascii="Arial" w:hAnsi="Arial" w:cs="Arial"/>
        </w:rPr>
        <w:t xml:space="preserve"> de Ag85A, B, C y de ESAT-6 para el diagnóstico de Tuberculosis bovina. </w:t>
      </w:r>
      <w:r>
        <w:rPr>
          <w:rFonts w:ascii="Arial" w:hAnsi="Arial" w:cs="Arial"/>
          <w:lang w:val="es-MX"/>
        </w:rPr>
        <w:t xml:space="preserve">Producción a nivel de </w:t>
      </w:r>
      <w:proofErr w:type="spellStart"/>
      <w:r>
        <w:rPr>
          <w:rFonts w:ascii="Arial" w:hAnsi="Arial" w:cs="Arial"/>
          <w:lang w:val="es-MX"/>
        </w:rPr>
        <w:t>biorreactor</w:t>
      </w:r>
      <w:proofErr w:type="spellEnd"/>
      <w:r>
        <w:rPr>
          <w:rFonts w:ascii="Arial" w:hAnsi="Arial" w:cs="Arial"/>
          <w:lang w:val="es-MX"/>
        </w:rPr>
        <w:t xml:space="preserve"> de los antígenos recombinantes ESAT-6 y Ag85C para el diagnóstico de tuberculosis bovina. 2006-7. Dinámica de la transmisión de tuberculosis de bovino a humano en una población de alto riesgo en el estado de hidalgo. </w:t>
      </w:r>
    </w:p>
    <w:p w:rsidR="003A61EB" w:rsidRDefault="003A61EB" w:rsidP="003A61EB">
      <w:pPr>
        <w:jc w:val="both"/>
        <w:rPr>
          <w:rFonts w:ascii="Arial" w:hAnsi="Arial" w:cs="Arial"/>
        </w:rPr>
      </w:pPr>
    </w:p>
    <w:p w:rsidR="00746164" w:rsidRDefault="00746164">
      <w:bookmarkStart w:id="0" w:name="_GoBack"/>
      <w:bookmarkEnd w:id="0"/>
    </w:p>
    <w:sectPr w:rsidR="00746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B0"/>
    <w:rsid w:val="003A61EB"/>
    <w:rsid w:val="00746164"/>
    <w:rsid w:val="00E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0AA22-346C-49A1-AAA8-B138F6F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2014-12-02T22:44:00Z</dcterms:created>
  <dcterms:modified xsi:type="dcterms:W3CDTF">2014-12-02T22:44:00Z</dcterms:modified>
</cp:coreProperties>
</file>