
<file path=[Content_Types].xml><?xml version="1.0" encoding="utf-8"?>
<Types xmlns="http://schemas.openxmlformats.org/package/2006/content-types">
  <Override PartName="/word/charts/chart10.xml" ContentType="application/vnd.openxmlformats-officedocument.drawingml.chart+xml"/>
  <Override PartName="/customXml/itemProps1.xml" ContentType="application/vnd.openxmlformats-officedocument.customXmlProperties+xml"/>
  <Override PartName="/word/charts/chart59.xml" ContentType="application/vnd.openxmlformats-officedocument.drawingml.chart+xml"/>
  <Override PartName="/word/charts/chart77.xml" ContentType="application/vnd.openxmlformats-officedocument.drawingml.chart+xml"/>
  <Override PartName="/word/charts/chart88.xml" ContentType="application/vnd.openxmlformats-officedocument.drawingml.chart+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48.xml" ContentType="application/vnd.openxmlformats-officedocument.drawingml.chart+xml"/>
  <Override PartName="/word/charts/chart66.xml" ContentType="application/vnd.openxmlformats-officedocument.drawingml.chart+xml"/>
  <Override PartName="/word/drawings/drawing2.xml" ContentType="application/vnd.openxmlformats-officedocument.drawingml.chartshapes+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charts/chart37.xml" ContentType="application/vnd.openxmlformats-officedocument.drawingml.chart+xml"/>
  <Override PartName="/word/charts/chart46.xml" ContentType="application/vnd.openxmlformats-officedocument.drawingml.chart+xml"/>
  <Override PartName="/word/charts/chart55.xml" ContentType="application/vnd.openxmlformats-officedocument.drawingml.chart+xml"/>
  <Override PartName="/word/charts/chart64.xml" ContentType="application/vnd.openxmlformats-officedocument.drawingml.chart+xml"/>
  <Override PartName="/word/charts/chart73.xml" ContentType="application/vnd.openxmlformats-officedocument.drawingml.chart+xml"/>
  <Override PartName="/word/charts/chart84.xml" ContentType="application/vnd.openxmlformats-officedocument.drawingml.chart+xml"/>
  <Override PartName="/word/charts/chart93.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62.xml" ContentType="application/vnd.openxmlformats-officedocument.drawingml.chart+xml"/>
  <Override PartName="/word/charts/chart71.xml" ContentType="application/vnd.openxmlformats-officedocument.drawingml.chart+xml"/>
  <Override PartName="/word/charts/chart82.xml" ContentType="application/vnd.openxmlformats-officedocument.drawingml.chart+xml"/>
  <Override PartName="/word/charts/chart91.xml" ContentType="application/vnd.openxmlformats-officedocument.drawingml.chart+xml"/>
  <Override PartName="/word/footer1.xml" ContentType="application/vnd.openxmlformats-officedocument.wordprocessingml.footer+xml"/>
  <Override PartName="/word/charts/chart3.xml" ContentType="application/vnd.openxmlformats-officedocument.drawingml.chart+xml"/>
  <Override PartName="/word/charts/chart13.xml" ContentType="application/vnd.openxmlformats-officedocument.drawingml.chart+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charts/chart51.xml" ContentType="application/vnd.openxmlformats-officedocument.drawingml.chart+xml"/>
  <Override PartName="/word/charts/chart60.xml" ContentType="application/vnd.openxmlformats-officedocument.drawingml.chart+xml"/>
  <Override PartName="/word/charts/chart80.xml" ContentType="application/vnd.openxmlformats-officedocument.drawingml.chart+xml"/>
  <Override PartName="/word/charts/chart1.xml" ContentType="application/vnd.openxmlformats-officedocument.drawingml.chart+xml"/>
  <Override PartName="/word/charts/chart11.xml" ContentType="application/vnd.openxmlformats-officedocument.drawingml.chart+xml"/>
  <Override PartName="/word/charts/chart20.xml" ContentType="application/vnd.openxmlformats-officedocument.drawingml.chart+xml"/>
  <Override PartName="/word/charts/chart40.xml" ContentType="application/vnd.openxmlformats-officedocument.drawingml.chart+xml"/>
  <Default Extension="png" ContentType="image/png"/>
  <Override PartName="/word/charts/chart89.xml" ContentType="application/vnd.openxmlformats-officedocument.drawingml.chart+xml"/>
  <Default Extension="emf" ContentType="image/x-emf"/>
  <Override PartName="/word/charts/chart49.xml" ContentType="application/vnd.openxmlformats-officedocument.drawingml.chart+xml"/>
  <Override PartName="/word/charts/chart69.xml" ContentType="application/vnd.openxmlformats-officedocument.drawingml.chart+xml"/>
  <Override PartName="/word/charts/chart78.xml" ContentType="application/vnd.openxmlformats-officedocument.drawingml.chart+xml"/>
  <Override PartName="/word/charts/chart87.xml" ContentType="application/vnd.openxmlformats-officedocument.drawingml.chart+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charts/chart38.xml" ContentType="application/vnd.openxmlformats-officedocument.drawingml.chart+xml"/>
  <Override PartName="/word/charts/chart47.xml" ContentType="application/vnd.openxmlformats-officedocument.drawingml.chart+xml"/>
  <Override PartName="/word/charts/chart58.xml" ContentType="application/vnd.openxmlformats-officedocument.drawingml.chart+xml"/>
  <Override PartName="/word/charts/chart67.xml" ContentType="application/vnd.openxmlformats-officedocument.drawingml.chart+xml"/>
  <Override PartName="/word/drawings/drawing3.xml" ContentType="application/vnd.openxmlformats-officedocument.drawingml.chartshapes+xml"/>
  <Override PartName="/word/charts/chart76.xml" ContentType="application/vnd.openxmlformats-officedocument.drawingml.chart+xml"/>
  <Override PartName="/word/charts/chart85.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18.xml" ContentType="application/vnd.openxmlformats-officedocument.drawingml.chart+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charts/chart65.xml" ContentType="application/vnd.openxmlformats-officedocument.drawingml.chart+xml"/>
  <Override PartName="/word/charts/chart74.xml" ContentType="application/vnd.openxmlformats-officedocument.drawingml.chart+xml"/>
  <Override PartName="/word/charts/chart83.xml" ContentType="application/vnd.openxmlformats-officedocument.drawingml.chart+xml"/>
  <Override PartName="/word/charts/chart92.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charts/chart63.xml" ContentType="application/vnd.openxmlformats-officedocument.drawingml.chart+xml"/>
  <Override PartName="/word/charts/chart72.xml" ContentType="application/vnd.openxmlformats-officedocument.drawingml.chart+xml"/>
  <Override PartName="/word/charts/chart81.xml" ContentType="application/vnd.openxmlformats-officedocument.drawingml.chart+xml"/>
  <Override PartName="/word/charts/chart90.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charts/chart61.xml" ContentType="application/vnd.openxmlformats-officedocument.drawingml.chart+xml"/>
  <Override PartName="/word/charts/chart70.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Override PartName="/word/footnotes.xml" ContentType="application/vnd.openxmlformats-officedocument.wordprocessingml.footnotes+xml"/>
  <Override PartName="/word/charts/chart68.xml" ContentType="application/vnd.openxmlformats-officedocument.drawingml.chart+xml"/>
  <Override PartName="/word/charts/chart79.xml" ContentType="application/vnd.openxmlformats-officedocument.drawingml.chart+xml"/>
  <Default Extension="rels" ContentType="application/vnd.openxmlformats-package.relationships+xml"/>
  <Override PartName="/word/charts/chart28.xml" ContentType="application/vnd.openxmlformats-officedocument.drawingml.chart+xml"/>
  <Override PartName="/word/charts/chart39.xml" ContentType="application/vnd.openxmlformats-officedocument.drawingml.chart+xml"/>
  <Override PartName="/word/charts/chart57.xml" ContentType="application/vnd.openxmlformats-officedocument.drawingml.chart+xml"/>
  <Override PartName="/word/drawings/drawing4.xml" ContentType="application/vnd.openxmlformats-officedocument.drawingml.chartshapes+xml"/>
  <Override PartName="/word/charts/chart75.xml" ContentType="application/vnd.openxmlformats-officedocument.drawingml.chart+xml"/>
  <Override PartName="/word/charts/chart86.xml" ContentType="application/vnd.openxmlformats-officedocument.drawingml.chart+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eastAsiaTheme="majorEastAsia" w:cstheme="minorHAnsi"/>
          <w:sz w:val="72"/>
          <w:szCs w:val="72"/>
          <w:lang w:val="es-MX" w:eastAsia="es-ES"/>
        </w:rPr>
        <w:id w:val="1548250"/>
        <w:docPartObj>
          <w:docPartGallery w:val="Cover Pages"/>
          <w:docPartUnique/>
        </w:docPartObj>
      </w:sdtPr>
      <w:sdtEndPr>
        <w:rPr>
          <w:rFonts w:eastAsia="Arial Unicode MS"/>
          <w:b/>
          <w:sz w:val="22"/>
          <w:szCs w:val="22"/>
          <w:lang w:val="es-ES" w:eastAsia="en-US"/>
        </w:rPr>
      </w:sdtEndPr>
      <w:sdtContent>
        <w:p w:rsidR="0024145B" w:rsidRPr="00772E03" w:rsidRDefault="0029009B" w:rsidP="002E762A">
          <w:pPr>
            <w:pStyle w:val="Sinespaciado"/>
            <w:rPr>
              <w:rFonts w:eastAsia="Arial Unicode MS" w:cstheme="minorHAnsi"/>
              <w:b/>
            </w:rPr>
          </w:pPr>
          <w:r w:rsidRPr="0029009B">
            <w:rPr>
              <w:rFonts w:eastAsiaTheme="majorEastAsia" w:cstheme="minorHAnsi"/>
              <w:noProof/>
            </w:rPr>
            <w:pict>
              <v:rect id="_x0000_s1115" style="position:absolute;margin-left:-7.3pt;margin-top:.55pt;width:641.1pt;height:789.2pt;z-index:-251657217;mso-width-percent:1050;mso-position-horizontal-relative:page;mso-position-vertical-relative:top-margin-area;mso-width-percent:1050;mso-height-relative:top-margin-area" o:allowincell="f" fillcolor="#c00000" strokecolor="#c2d69b [1942]" strokeweight="1pt">
                <v:fill color2="#eaf1dd [662]" angle="-45" focus="50%" type="gradient"/>
                <v:shadow on="t" type="perspective" color="#4e6128 [1606]" opacity=".5" offset="1pt" offset2="-3pt"/>
                <w10:wrap anchorx="page" anchory="margin"/>
              </v:rect>
            </w:pict>
          </w:r>
          <w:r w:rsidRPr="0029009B">
            <w:rPr>
              <w:rFonts w:eastAsiaTheme="majorEastAsia" w:cstheme="minorHAnsi"/>
              <w:noProof/>
            </w:rPr>
            <w:pict>
              <v:rect id="_x0000_s1116" style="position:absolute;margin-left:0;margin-top:0;width:7.15pt;height:883.2pt;z-index:251740160;mso-height-percent:1050;mso-position-horizontal:center;mso-position-horizontal-relative:right-margin-area;mso-position-vertical:center;mso-position-vertical-relative:page;mso-height-percent:1050" o:allowincell="f" filled="f" fillcolor="white [3212]" strokecolor="#c00000">
                <w10:wrap anchorx="page" anchory="page"/>
              </v:rect>
            </w:pict>
          </w:r>
        </w:p>
      </w:sdtContent>
    </w:sdt>
    <w:p w:rsidR="0024145B" w:rsidRPr="00772E03" w:rsidRDefault="0024145B" w:rsidP="002E762A">
      <w:pPr>
        <w:spacing w:line="240" w:lineRule="auto"/>
        <w:ind w:left="-851" w:right="-1085"/>
        <w:contextualSpacing/>
        <w:jc w:val="center"/>
        <w:rPr>
          <w:rFonts w:asciiTheme="minorHAnsi" w:eastAsia="Arial Unicode MS" w:hAnsiTheme="minorHAnsi" w:cstheme="minorHAnsi"/>
          <w:b/>
          <w:color w:val="FFFFFF" w:themeColor="background1"/>
          <w:sz w:val="120"/>
          <w:szCs w:val="120"/>
        </w:rPr>
      </w:pPr>
      <w:r w:rsidRPr="00772E03">
        <w:rPr>
          <w:rFonts w:asciiTheme="minorHAnsi" w:eastAsia="Arial Unicode MS" w:hAnsiTheme="minorHAnsi" w:cstheme="minorHAnsi"/>
          <w:b/>
          <w:color w:val="FFFFFF" w:themeColor="background1"/>
          <w:sz w:val="120"/>
          <w:szCs w:val="120"/>
        </w:rPr>
        <w:t>Coatzacoalcos</w:t>
      </w:r>
    </w:p>
    <w:p w:rsidR="002E762A" w:rsidRPr="00772E03" w:rsidRDefault="002E762A" w:rsidP="002E762A">
      <w:pPr>
        <w:pStyle w:val="Ttulo2"/>
        <w:ind w:left="-851" w:right="-1085"/>
        <w:contextualSpacing/>
        <w:jc w:val="center"/>
        <w:rPr>
          <w:rFonts w:asciiTheme="minorHAnsi" w:hAnsiTheme="minorHAnsi" w:cstheme="minorHAnsi"/>
          <w:color w:val="FFFFFF" w:themeColor="background1"/>
          <w:sz w:val="48"/>
          <w:szCs w:val="48"/>
          <w:lang w:val="es-MX"/>
        </w:rPr>
      </w:pPr>
      <w:r w:rsidRPr="00772E03">
        <w:rPr>
          <w:rFonts w:asciiTheme="minorHAnsi" w:hAnsiTheme="minorHAnsi" w:cstheme="minorHAnsi"/>
          <w:color w:val="FFFFFF" w:themeColor="background1"/>
          <w:sz w:val="48"/>
          <w:szCs w:val="48"/>
          <w:lang w:val="es-MX"/>
        </w:rPr>
        <w:t>Economía local y problemática social</w:t>
      </w: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40"/>
          <w:szCs w:val="40"/>
        </w:rPr>
      </w:pP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40"/>
          <w:szCs w:val="40"/>
        </w:rPr>
      </w:pP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40"/>
          <w:szCs w:val="40"/>
        </w:rPr>
      </w:pP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40"/>
          <w:szCs w:val="40"/>
        </w:rPr>
      </w:pP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40"/>
          <w:szCs w:val="40"/>
        </w:rPr>
      </w:pPr>
    </w:p>
    <w:p w:rsidR="002E762A" w:rsidRPr="00772E03" w:rsidRDefault="002E762A" w:rsidP="002E762A">
      <w:pPr>
        <w:spacing w:line="240" w:lineRule="auto"/>
        <w:ind w:left="-851" w:right="-1085"/>
        <w:contextualSpacing/>
        <w:jc w:val="center"/>
        <w:rPr>
          <w:rFonts w:asciiTheme="minorHAnsi" w:hAnsiTheme="minorHAnsi" w:cstheme="minorHAnsi"/>
          <w:b/>
          <w:i/>
          <w:color w:val="FFFFFF" w:themeColor="background1"/>
          <w:sz w:val="80"/>
          <w:szCs w:val="80"/>
        </w:rPr>
      </w:pPr>
      <w:r w:rsidRPr="00772E03">
        <w:rPr>
          <w:rFonts w:asciiTheme="minorHAnsi" w:hAnsiTheme="minorHAnsi" w:cstheme="minorHAnsi"/>
          <w:b/>
          <w:i/>
          <w:color w:val="FFFFFF" w:themeColor="background1"/>
          <w:sz w:val="80"/>
          <w:szCs w:val="80"/>
        </w:rPr>
        <w:t>HILARIO BARCELATA CHÁVEZ</w:t>
      </w:r>
    </w:p>
    <w:p w:rsidR="002E762A" w:rsidRPr="00772E03" w:rsidRDefault="002E762A" w:rsidP="002E762A">
      <w:pPr>
        <w:spacing w:line="240" w:lineRule="auto"/>
        <w:contextualSpacing/>
        <w:jc w:val="right"/>
        <w:rPr>
          <w:rFonts w:asciiTheme="minorHAnsi" w:hAnsiTheme="minorHAnsi" w:cstheme="minorHAnsi"/>
          <w:i/>
          <w:color w:val="FFFFFF" w:themeColor="background1"/>
          <w:sz w:val="28"/>
          <w:szCs w:val="28"/>
        </w:rPr>
      </w:pPr>
    </w:p>
    <w:p w:rsidR="002E762A" w:rsidRPr="00772E03" w:rsidRDefault="002E762A" w:rsidP="002E762A">
      <w:pPr>
        <w:jc w:val="right"/>
        <w:rPr>
          <w:rFonts w:asciiTheme="minorHAnsi" w:hAnsiTheme="minorHAnsi" w:cstheme="minorHAnsi"/>
          <w:i/>
          <w:color w:val="FFFFFF" w:themeColor="background1"/>
          <w:sz w:val="28"/>
          <w:szCs w:val="28"/>
        </w:rPr>
      </w:pPr>
    </w:p>
    <w:p w:rsidR="002E762A" w:rsidRPr="00772E03" w:rsidRDefault="002E762A" w:rsidP="002E762A">
      <w:pPr>
        <w:jc w:val="right"/>
        <w:rPr>
          <w:rFonts w:asciiTheme="minorHAnsi" w:hAnsiTheme="minorHAnsi" w:cstheme="minorHAnsi"/>
          <w:i/>
          <w:color w:val="FFFFFF" w:themeColor="background1"/>
          <w:sz w:val="28"/>
          <w:szCs w:val="28"/>
        </w:rPr>
      </w:pPr>
    </w:p>
    <w:p w:rsidR="002E762A" w:rsidRPr="00772E03" w:rsidRDefault="002E762A" w:rsidP="002E762A">
      <w:pPr>
        <w:jc w:val="right"/>
        <w:rPr>
          <w:rFonts w:asciiTheme="minorHAnsi" w:hAnsiTheme="minorHAnsi" w:cstheme="minorHAnsi"/>
          <w:i/>
          <w:color w:val="FFFFFF" w:themeColor="background1"/>
          <w:sz w:val="28"/>
          <w:szCs w:val="28"/>
        </w:rPr>
      </w:pPr>
    </w:p>
    <w:p w:rsidR="002E762A" w:rsidRPr="00772E03" w:rsidRDefault="002E762A" w:rsidP="002E762A">
      <w:pPr>
        <w:jc w:val="right"/>
        <w:rPr>
          <w:rFonts w:asciiTheme="minorHAnsi" w:hAnsiTheme="minorHAnsi" w:cstheme="minorHAnsi"/>
          <w:i/>
          <w:color w:val="FFFFFF" w:themeColor="background1"/>
          <w:sz w:val="28"/>
          <w:szCs w:val="28"/>
        </w:rPr>
      </w:pPr>
    </w:p>
    <w:p w:rsidR="002E762A" w:rsidRPr="00772E03" w:rsidRDefault="002E762A" w:rsidP="002E762A">
      <w:pPr>
        <w:rPr>
          <w:rFonts w:asciiTheme="minorHAnsi" w:hAnsiTheme="minorHAnsi" w:cstheme="minorHAnsi"/>
          <w:i/>
          <w:color w:val="FFFFFF" w:themeColor="background1"/>
          <w:sz w:val="28"/>
          <w:szCs w:val="28"/>
        </w:rPr>
      </w:pPr>
      <w:r w:rsidRPr="00772E03">
        <w:rPr>
          <w:rFonts w:asciiTheme="minorHAnsi" w:hAnsiTheme="minorHAnsi" w:cstheme="minorHAnsi"/>
          <w:i/>
          <w:color w:val="FFFFFF" w:themeColor="background1"/>
          <w:sz w:val="28"/>
          <w:szCs w:val="28"/>
        </w:rPr>
        <w:t>Eumed.net. Universidad de Málaga,  2011</w:t>
      </w:r>
    </w:p>
    <w:p w:rsidR="002E762A" w:rsidRPr="00772E03" w:rsidRDefault="002E762A" w:rsidP="002E762A">
      <w:pPr>
        <w:ind w:left="-851" w:right="-1085"/>
        <w:jc w:val="center"/>
        <w:rPr>
          <w:rFonts w:asciiTheme="minorHAnsi" w:eastAsia="Arial Unicode MS" w:hAnsiTheme="minorHAnsi" w:cstheme="minorHAnsi"/>
          <w:b/>
          <w:color w:val="9BBB59" w:themeColor="accent3"/>
          <w:sz w:val="72"/>
          <w:szCs w:val="72"/>
        </w:rPr>
      </w:pPr>
    </w:p>
    <w:p w:rsidR="0024145B" w:rsidRPr="00772E03" w:rsidRDefault="0029009B" w:rsidP="0024145B">
      <w:pPr>
        <w:tabs>
          <w:tab w:val="left" w:pos="3750"/>
        </w:tabs>
        <w:spacing w:line="360" w:lineRule="auto"/>
        <w:rPr>
          <w:rFonts w:asciiTheme="minorHAnsi" w:eastAsia="Arial Unicode MS" w:hAnsiTheme="minorHAnsi" w:cstheme="minorHAnsi"/>
          <w:b/>
        </w:rPr>
      </w:pPr>
      <w:r w:rsidRPr="0029009B">
        <w:rPr>
          <w:rFonts w:asciiTheme="minorHAnsi" w:eastAsia="Arial Unicode MS" w:hAnsiTheme="minorHAnsi" w:cstheme="minorHAnsi"/>
          <w:b/>
          <w:noProof/>
          <w:lang w:val="es-ES"/>
        </w:rPr>
        <w:pict>
          <v:shapetype id="_x0000_t202" coordsize="21600,21600" o:spt="202" path="m,l,21600r21600,l21600,xe">
            <v:stroke joinstyle="miter"/>
            <v:path gradientshapeok="t" o:connecttype="rect"/>
          </v:shapetype>
          <v:shape id="_x0000_s1154" type="#_x0000_t202" style="position:absolute;margin-left:6.3pt;margin-top:18.15pt;width:433.75pt;height:104.45pt;z-index:251773952;mso-width-relative:margin;mso-height-relative:margin" filled="f" stroked="f">
            <v:textbox>
              <w:txbxContent>
                <w:p w:rsidR="00912E32" w:rsidRPr="002E762A" w:rsidRDefault="00912E32" w:rsidP="002E762A">
                  <w:pPr>
                    <w:jc w:val="center"/>
                    <w:rPr>
                      <w:b/>
                      <w:color w:val="FFFFFF" w:themeColor="background1"/>
                      <w:sz w:val="36"/>
                      <w:szCs w:val="36"/>
                    </w:rPr>
                  </w:pPr>
                  <w:r w:rsidRPr="002E762A">
                    <w:rPr>
                      <w:b/>
                      <w:color w:val="FFFFFF" w:themeColor="background1"/>
                      <w:sz w:val="36"/>
                      <w:szCs w:val="36"/>
                    </w:rPr>
                    <w:t xml:space="preserve">Colección  </w:t>
                  </w:r>
                </w:p>
                <w:p w:rsidR="00912E32" w:rsidRPr="002E762A" w:rsidRDefault="00912E32" w:rsidP="002E762A">
                  <w:pPr>
                    <w:jc w:val="center"/>
                    <w:rPr>
                      <w:b/>
                      <w:i/>
                      <w:color w:val="FFFFFF" w:themeColor="background1"/>
                      <w:sz w:val="36"/>
                      <w:szCs w:val="36"/>
                    </w:rPr>
                  </w:pPr>
                  <w:r w:rsidRPr="002E762A">
                    <w:rPr>
                      <w:b/>
                      <w:i/>
                      <w:color w:val="FFFFFF" w:themeColor="background1"/>
                      <w:sz w:val="36"/>
                      <w:szCs w:val="36"/>
                    </w:rPr>
                    <w:t xml:space="preserve">LOS MUNICIPIOS DEL ESTADO DE VERACRUZ </w:t>
                  </w:r>
                </w:p>
                <w:p w:rsidR="00912E32" w:rsidRPr="002E762A" w:rsidRDefault="00912E32" w:rsidP="002E762A">
                  <w:pPr>
                    <w:jc w:val="center"/>
                    <w:rPr>
                      <w:b/>
                      <w:i/>
                      <w:color w:val="FFFFFF" w:themeColor="background1"/>
                      <w:sz w:val="36"/>
                      <w:szCs w:val="36"/>
                    </w:rPr>
                  </w:pPr>
                  <w:r w:rsidRPr="002E762A">
                    <w:rPr>
                      <w:b/>
                      <w:i/>
                      <w:color w:val="FFFFFF" w:themeColor="background1"/>
                      <w:sz w:val="36"/>
                      <w:szCs w:val="36"/>
                    </w:rPr>
                    <w:t>Volumen IV</w:t>
                  </w:r>
                </w:p>
                <w:p w:rsidR="00912E32" w:rsidRPr="002E762A" w:rsidRDefault="00912E32">
                  <w:pPr>
                    <w:rPr>
                      <w:color w:val="FFFFFF" w:themeColor="background1"/>
                      <w:sz w:val="36"/>
                      <w:szCs w:val="36"/>
                      <w:lang w:val="es-ES"/>
                    </w:rPr>
                  </w:pPr>
                </w:p>
              </w:txbxContent>
            </v:textbox>
          </v:shape>
        </w:pict>
      </w:r>
    </w:p>
    <w:p w:rsidR="002E762A" w:rsidRPr="00772E03" w:rsidRDefault="002E762A">
      <w:pPr>
        <w:spacing w:after="0" w:line="240" w:lineRule="auto"/>
        <w:rPr>
          <w:rFonts w:asciiTheme="minorHAnsi" w:eastAsia="Arial Unicode MS" w:hAnsiTheme="minorHAnsi" w:cstheme="minorHAnsi"/>
          <w:b/>
        </w:rPr>
      </w:pPr>
      <w:r w:rsidRPr="00772E03">
        <w:rPr>
          <w:rFonts w:asciiTheme="minorHAnsi" w:eastAsia="Arial Unicode MS" w:hAnsiTheme="minorHAnsi" w:cstheme="minorHAnsi"/>
          <w:b/>
        </w:rPr>
        <w:br w:type="page"/>
      </w:r>
    </w:p>
    <w:p w:rsidR="00772E03" w:rsidRPr="00772E03" w:rsidRDefault="00772E03" w:rsidP="00772E03">
      <w:pPr>
        <w:pStyle w:val="Ttulo2"/>
        <w:jc w:val="center"/>
        <w:rPr>
          <w:rFonts w:asciiTheme="minorHAnsi" w:hAnsiTheme="minorHAnsi" w:cstheme="minorHAnsi"/>
          <w:sz w:val="32"/>
          <w:szCs w:val="32"/>
          <w:lang w:val="es-MX"/>
        </w:rPr>
      </w:pPr>
      <w:r w:rsidRPr="00772E03">
        <w:rPr>
          <w:rFonts w:asciiTheme="minorHAnsi" w:hAnsiTheme="minorHAnsi" w:cstheme="minorHAnsi"/>
          <w:sz w:val="32"/>
          <w:szCs w:val="32"/>
          <w:lang w:val="es-MX"/>
        </w:rPr>
        <w:lastRenderedPageBreak/>
        <w:t>Coatzacoalcos. Economía local y problemática social</w:t>
      </w:r>
    </w:p>
    <w:p w:rsidR="00772E03" w:rsidRPr="00772E03" w:rsidRDefault="00772E03" w:rsidP="00772E03">
      <w:pPr>
        <w:jc w:val="center"/>
        <w:rPr>
          <w:rFonts w:asciiTheme="minorHAnsi" w:hAnsiTheme="minorHAnsi" w:cstheme="minorHAnsi"/>
          <w:sz w:val="28"/>
          <w:szCs w:val="28"/>
        </w:rPr>
      </w:pPr>
    </w:p>
    <w:p w:rsidR="00772E03" w:rsidRPr="00772E03" w:rsidRDefault="00772E03" w:rsidP="00772E03">
      <w:pPr>
        <w:jc w:val="center"/>
        <w:rPr>
          <w:rFonts w:asciiTheme="minorHAnsi" w:hAnsiTheme="minorHAnsi" w:cstheme="minorHAnsi"/>
          <w:b/>
          <w:sz w:val="26"/>
          <w:szCs w:val="26"/>
        </w:rPr>
      </w:pPr>
      <w:r w:rsidRPr="00772E03">
        <w:rPr>
          <w:rFonts w:asciiTheme="minorHAnsi" w:hAnsiTheme="minorHAnsi" w:cstheme="minorHAnsi"/>
          <w:b/>
          <w:sz w:val="26"/>
          <w:szCs w:val="26"/>
        </w:rPr>
        <w:t xml:space="preserve">Colección  </w:t>
      </w:r>
    </w:p>
    <w:p w:rsidR="00772E03" w:rsidRPr="00772E03" w:rsidRDefault="00772E03" w:rsidP="00772E03">
      <w:pPr>
        <w:jc w:val="center"/>
        <w:rPr>
          <w:rFonts w:asciiTheme="minorHAnsi" w:hAnsiTheme="minorHAnsi" w:cstheme="minorHAnsi"/>
          <w:b/>
          <w:i/>
          <w:sz w:val="26"/>
          <w:szCs w:val="26"/>
        </w:rPr>
      </w:pPr>
      <w:r w:rsidRPr="00772E03">
        <w:rPr>
          <w:rFonts w:asciiTheme="minorHAnsi" w:hAnsiTheme="minorHAnsi" w:cstheme="minorHAnsi"/>
          <w:b/>
          <w:i/>
          <w:sz w:val="26"/>
          <w:szCs w:val="26"/>
        </w:rPr>
        <w:t xml:space="preserve">LOS MUNICIPIOS DEL ESTADO DE VERACRUZ </w:t>
      </w:r>
    </w:p>
    <w:p w:rsidR="00772E03" w:rsidRPr="00772E03" w:rsidRDefault="00772E03" w:rsidP="00772E03">
      <w:pPr>
        <w:jc w:val="center"/>
        <w:rPr>
          <w:rFonts w:asciiTheme="minorHAnsi" w:hAnsiTheme="minorHAnsi" w:cstheme="minorHAnsi"/>
          <w:b/>
          <w:i/>
          <w:sz w:val="26"/>
          <w:szCs w:val="26"/>
        </w:rPr>
      </w:pPr>
      <w:r w:rsidRPr="00772E03">
        <w:rPr>
          <w:rFonts w:asciiTheme="minorHAnsi" w:hAnsiTheme="minorHAnsi" w:cstheme="minorHAnsi"/>
          <w:b/>
          <w:i/>
          <w:sz w:val="26"/>
          <w:szCs w:val="26"/>
        </w:rPr>
        <w:t>Volumen IV</w:t>
      </w:r>
    </w:p>
    <w:p w:rsidR="00772E03" w:rsidRPr="00772E03" w:rsidRDefault="00772E03" w:rsidP="00772E03">
      <w:pPr>
        <w:jc w:val="center"/>
        <w:rPr>
          <w:rFonts w:asciiTheme="minorHAnsi" w:hAnsiTheme="minorHAnsi" w:cstheme="minorHAnsi"/>
          <w:sz w:val="28"/>
          <w:szCs w:val="28"/>
        </w:rPr>
      </w:pPr>
    </w:p>
    <w:p w:rsidR="00772E03" w:rsidRPr="00772E03" w:rsidRDefault="00772E03" w:rsidP="00772E03">
      <w:pPr>
        <w:jc w:val="center"/>
        <w:rPr>
          <w:rFonts w:asciiTheme="minorHAnsi" w:hAnsiTheme="minorHAnsi" w:cstheme="minorHAnsi"/>
          <w:sz w:val="28"/>
          <w:szCs w:val="28"/>
        </w:rPr>
      </w:pPr>
    </w:p>
    <w:p w:rsidR="00772E03" w:rsidRPr="00772E03" w:rsidRDefault="00772E03" w:rsidP="00772E03">
      <w:pPr>
        <w:jc w:val="center"/>
        <w:rPr>
          <w:rFonts w:asciiTheme="minorHAnsi" w:hAnsiTheme="minorHAnsi" w:cstheme="minorHAnsi"/>
          <w:b/>
          <w:sz w:val="32"/>
          <w:szCs w:val="32"/>
        </w:rPr>
      </w:pPr>
      <w:r w:rsidRPr="00772E03">
        <w:rPr>
          <w:rFonts w:asciiTheme="minorHAnsi" w:hAnsiTheme="minorHAnsi" w:cstheme="minorHAnsi"/>
          <w:b/>
          <w:sz w:val="32"/>
          <w:szCs w:val="32"/>
        </w:rPr>
        <w:t>Hilario Barcelata Chávez</w:t>
      </w:r>
    </w:p>
    <w:p w:rsidR="00772E03" w:rsidRPr="00772E03" w:rsidRDefault="00772E03" w:rsidP="00772E03">
      <w:pPr>
        <w:jc w:val="center"/>
        <w:rPr>
          <w:rFonts w:asciiTheme="minorHAnsi" w:hAnsiTheme="minorHAnsi" w:cstheme="minorHAnsi"/>
          <w:i/>
          <w:sz w:val="28"/>
          <w:szCs w:val="28"/>
        </w:rPr>
      </w:pPr>
    </w:p>
    <w:p w:rsidR="00772E03" w:rsidRPr="00772E03" w:rsidRDefault="00772E03" w:rsidP="00772E03">
      <w:pPr>
        <w:jc w:val="center"/>
        <w:rPr>
          <w:rFonts w:asciiTheme="minorHAnsi" w:hAnsiTheme="minorHAnsi" w:cstheme="minorHAnsi"/>
          <w:i/>
          <w:sz w:val="28"/>
          <w:szCs w:val="28"/>
        </w:rPr>
      </w:pPr>
      <w:r w:rsidRPr="00772E03">
        <w:rPr>
          <w:rFonts w:asciiTheme="minorHAnsi" w:hAnsiTheme="minorHAnsi" w:cstheme="minorHAnsi"/>
          <w:i/>
          <w:sz w:val="28"/>
          <w:szCs w:val="28"/>
        </w:rPr>
        <w:t>Profesor-Investigador</w:t>
      </w:r>
    </w:p>
    <w:p w:rsidR="00772E03" w:rsidRPr="00772E03" w:rsidRDefault="00772E03" w:rsidP="00772E03">
      <w:pPr>
        <w:jc w:val="center"/>
        <w:rPr>
          <w:rFonts w:asciiTheme="minorHAnsi" w:hAnsiTheme="minorHAnsi" w:cstheme="minorHAnsi"/>
          <w:i/>
          <w:sz w:val="28"/>
          <w:szCs w:val="28"/>
        </w:rPr>
      </w:pPr>
      <w:r w:rsidRPr="00772E03">
        <w:rPr>
          <w:rFonts w:asciiTheme="minorHAnsi" w:hAnsiTheme="minorHAnsi" w:cstheme="minorHAnsi"/>
          <w:i/>
          <w:sz w:val="28"/>
          <w:szCs w:val="28"/>
        </w:rPr>
        <w:t>Facultad de Economía, Universidad Veracruzana</w:t>
      </w:r>
    </w:p>
    <w:p w:rsidR="00772E03" w:rsidRPr="00772E03" w:rsidRDefault="00772E03" w:rsidP="00772E03">
      <w:pPr>
        <w:jc w:val="center"/>
        <w:rPr>
          <w:rFonts w:asciiTheme="minorHAnsi" w:hAnsiTheme="minorHAnsi" w:cstheme="minorHAnsi"/>
          <w:i/>
          <w:sz w:val="28"/>
          <w:szCs w:val="28"/>
        </w:rPr>
      </w:pPr>
      <w:r w:rsidRPr="00772E03">
        <w:rPr>
          <w:rFonts w:asciiTheme="minorHAnsi" w:hAnsiTheme="minorHAnsi" w:cstheme="minorHAnsi"/>
          <w:i/>
          <w:sz w:val="28"/>
          <w:szCs w:val="28"/>
        </w:rPr>
        <w:t>Xalapa, Ver., México</w:t>
      </w:r>
    </w:p>
    <w:p w:rsidR="00772E03" w:rsidRPr="00772E03" w:rsidRDefault="00772E03" w:rsidP="00772E03">
      <w:pPr>
        <w:jc w:val="center"/>
        <w:rPr>
          <w:rFonts w:asciiTheme="minorHAnsi" w:hAnsiTheme="minorHAnsi" w:cstheme="minorHAnsi"/>
          <w:sz w:val="28"/>
          <w:szCs w:val="28"/>
        </w:rPr>
      </w:pPr>
    </w:p>
    <w:p w:rsidR="00772E03" w:rsidRPr="00772E03" w:rsidRDefault="00772E03" w:rsidP="00772E03">
      <w:pPr>
        <w:rPr>
          <w:rFonts w:asciiTheme="minorHAnsi" w:hAnsiTheme="minorHAnsi" w:cstheme="minorHAnsi"/>
        </w:rPr>
      </w:pPr>
    </w:p>
    <w:p w:rsidR="00772E03" w:rsidRPr="00772E03" w:rsidRDefault="00772E03" w:rsidP="00772E03">
      <w:pPr>
        <w:rPr>
          <w:rFonts w:asciiTheme="minorHAnsi" w:hAnsiTheme="minorHAnsi" w:cstheme="minorHAnsi"/>
          <w:lang w:val="es-ES_tradnl"/>
        </w:rPr>
      </w:pPr>
      <w:r w:rsidRPr="00772E03">
        <w:rPr>
          <w:rFonts w:asciiTheme="minorHAnsi" w:hAnsiTheme="minorHAnsi" w:cstheme="minorHAnsi"/>
          <w:lang w:val="es-ES_tradnl"/>
        </w:rPr>
        <w:t>Primera edición, 2011</w:t>
      </w:r>
    </w:p>
    <w:p w:rsidR="00772E03" w:rsidRPr="00772E03" w:rsidRDefault="00772E03" w:rsidP="00772E03">
      <w:pPr>
        <w:rPr>
          <w:rFonts w:asciiTheme="minorHAnsi" w:hAnsiTheme="minorHAnsi" w:cstheme="minorHAnsi"/>
        </w:rPr>
      </w:pPr>
      <w:r w:rsidRPr="00772E03">
        <w:rPr>
          <w:rFonts w:asciiTheme="minorHAnsi" w:hAnsiTheme="minorHAnsi" w:cstheme="minorHAnsi"/>
        </w:rPr>
        <w:t>D.R. ©Hilario Barcelata Chávez</w:t>
      </w:r>
    </w:p>
    <w:p w:rsidR="00772E03" w:rsidRPr="00772E03" w:rsidRDefault="00772E03" w:rsidP="00772E03">
      <w:pPr>
        <w:rPr>
          <w:rFonts w:asciiTheme="minorHAnsi" w:hAnsiTheme="minorHAnsi" w:cstheme="minorHAnsi"/>
          <w:sz w:val="28"/>
          <w:szCs w:val="28"/>
        </w:rPr>
      </w:pPr>
      <w:r w:rsidRPr="00772E03">
        <w:rPr>
          <w:rFonts w:asciiTheme="minorHAnsi" w:hAnsiTheme="minorHAnsi" w:cstheme="minorHAnsi"/>
          <w:sz w:val="28"/>
          <w:szCs w:val="28"/>
        </w:rPr>
        <w:t>Eumed.net. Universidad de Málaga,  2011</w:t>
      </w:r>
    </w:p>
    <w:p w:rsidR="00772E03" w:rsidRPr="00772E03" w:rsidRDefault="00772E03" w:rsidP="00772E03">
      <w:pPr>
        <w:jc w:val="both"/>
        <w:rPr>
          <w:rFonts w:asciiTheme="minorHAnsi" w:hAnsiTheme="minorHAnsi" w:cstheme="minorHAnsi"/>
          <w:b/>
          <w:lang w:val="es-ES_tradnl"/>
        </w:rPr>
      </w:pPr>
    </w:p>
    <w:p w:rsidR="00772E03" w:rsidRPr="00772E03" w:rsidRDefault="00772E03" w:rsidP="00772E03">
      <w:pPr>
        <w:ind w:right="970"/>
        <w:jc w:val="both"/>
        <w:rPr>
          <w:rFonts w:asciiTheme="minorHAnsi" w:hAnsiTheme="minorHAnsi" w:cstheme="minorHAnsi"/>
        </w:rPr>
      </w:pPr>
      <w:r w:rsidRPr="00772E03">
        <w:rPr>
          <w:rFonts w:asciiTheme="minorHAnsi" w:hAnsiTheme="minorHAnsi" w:cstheme="minorHAnsi"/>
        </w:rPr>
        <w:t>Se prohíbe la reproducción total o parcial de esta obra –incluido el diseño tipográfico y de portada- sea cual fuere el medio, electrónico o mecánico, sin el consentimiento por escrito del editor.</w:t>
      </w:r>
    </w:p>
    <w:p w:rsidR="002E762A" w:rsidRPr="00772E03" w:rsidRDefault="002E762A">
      <w:pPr>
        <w:spacing w:after="0" w:line="240" w:lineRule="auto"/>
        <w:rPr>
          <w:rFonts w:asciiTheme="minorHAnsi" w:eastAsia="Arial Unicode MS" w:hAnsiTheme="minorHAnsi" w:cstheme="minorHAnsi"/>
          <w:sz w:val="28"/>
          <w:szCs w:val="28"/>
        </w:rPr>
      </w:pPr>
      <w:r w:rsidRPr="00772E03">
        <w:rPr>
          <w:rFonts w:asciiTheme="minorHAnsi" w:eastAsia="Arial Unicode MS" w:hAnsiTheme="minorHAnsi" w:cstheme="minorHAnsi"/>
          <w:sz w:val="28"/>
          <w:szCs w:val="28"/>
        </w:rPr>
        <w:br w:type="page"/>
      </w:r>
    </w:p>
    <w:p w:rsidR="0024145B" w:rsidRDefault="0024145B" w:rsidP="00EF1D55">
      <w:pPr>
        <w:tabs>
          <w:tab w:val="left" w:pos="3750"/>
        </w:tabs>
        <w:spacing w:line="360" w:lineRule="auto"/>
        <w:jc w:val="center"/>
        <w:rPr>
          <w:rFonts w:asciiTheme="minorHAnsi" w:eastAsia="Arial Unicode MS" w:hAnsiTheme="minorHAnsi" w:cstheme="minorHAnsi"/>
          <w:sz w:val="28"/>
          <w:szCs w:val="28"/>
        </w:rPr>
      </w:pPr>
      <w:bookmarkStart w:id="0" w:name="OLE_LINK1"/>
      <w:r w:rsidRPr="00772E03">
        <w:rPr>
          <w:rFonts w:asciiTheme="minorHAnsi" w:eastAsia="Arial Unicode MS" w:hAnsiTheme="minorHAnsi" w:cstheme="minorHAnsi"/>
          <w:sz w:val="28"/>
          <w:szCs w:val="28"/>
        </w:rPr>
        <w:lastRenderedPageBreak/>
        <w:t>Índice</w:t>
      </w:r>
    </w:p>
    <w:tbl>
      <w:tblPr>
        <w:tblW w:w="8319" w:type="dxa"/>
        <w:jc w:val="center"/>
        <w:tblInd w:w="-612" w:type="dxa"/>
        <w:tblCellMar>
          <w:left w:w="70" w:type="dxa"/>
          <w:right w:w="70" w:type="dxa"/>
        </w:tblCellMar>
        <w:tblLook w:val="04A0"/>
      </w:tblPr>
      <w:tblGrid>
        <w:gridCol w:w="7679"/>
        <w:gridCol w:w="640"/>
      </w:tblGrid>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b/>
                <w:bCs/>
                <w:color w:val="000000"/>
                <w:sz w:val="24"/>
                <w:szCs w:val="24"/>
                <w:lang w:eastAsia="es-MX"/>
              </w:rPr>
            </w:pPr>
            <w:bookmarkStart w:id="1" w:name="OLE_LINK2" w:colFirst="1" w:colLast="1"/>
            <w:bookmarkStart w:id="2" w:name="RANGE!A2"/>
            <w:r w:rsidRPr="00EF1D55">
              <w:rPr>
                <w:rFonts w:eastAsia="Times New Roman" w:cs="Calibri"/>
                <w:b/>
                <w:bCs/>
                <w:color w:val="000000"/>
                <w:sz w:val="24"/>
                <w:szCs w:val="24"/>
                <w:lang w:eastAsia="es-MX"/>
              </w:rPr>
              <w:t>Introducción</w:t>
            </w:r>
            <w:bookmarkEnd w:id="2"/>
          </w:p>
        </w:tc>
        <w:tc>
          <w:tcPr>
            <w:tcW w:w="640" w:type="dxa"/>
            <w:shd w:val="clear" w:color="auto" w:fill="auto"/>
            <w:hideMark/>
          </w:tcPr>
          <w:p w:rsidR="00EF1D55" w:rsidRPr="00EF1D55" w:rsidRDefault="007A1AE0" w:rsidP="00EF1D55">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p>
        </w:tc>
        <w:tc>
          <w:tcPr>
            <w:tcW w:w="640" w:type="dxa"/>
            <w:shd w:val="clear" w:color="auto" w:fill="auto"/>
            <w:hideMark/>
          </w:tcPr>
          <w:p w:rsidR="00EF1D55" w:rsidRPr="00EF1D55" w:rsidRDefault="00EF1D55" w:rsidP="00EF1D55">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 </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b/>
                <w:bCs/>
                <w:color w:val="000000"/>
                <w:sz w:val="24"/>
                <w:szCs w:val="24"/>
                <w:lang w:eastAsia="es-MX"/>
              </w:rPr>
            </w:pPr>
            <w:r w:rsidRPr="00EF1D55">
              <w:rPr>
                <w:rFonts w:eastAsia="Times New Roman" w:cs="Calibri"/>
                <w:b/>
                <w:bCs/>
                <w:color w:val="000000"/>
                <w:sz w:val="24"/>
                <w:szCs w:val="24"/>
                <w:lang w:eastAsia="es-MX"/>
              </w:rPr>
              <w:t>CAPITULO I. Factores Demográficos</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Aspectos geográficos</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Regionalización</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9</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Aspectos electorales</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10</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 crecimiento demográfico</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12</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Población por sexo</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14</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Estructura de la población por edades</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15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Edades y género</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18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Jefes de familia en los hogares</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20</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Bono demográfico</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22</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Servicios públicos y bienes privados en la vivienda</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23</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Indicadores de marginación</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Índice de marginación por localidad</w:t>
            </w:r>
          </w:p>
        </w:tc>
        <w:tc>
          <w:tcPr>
            <w:tcW w:w="640" w:type="dxa"/>
            <w:shd w:val="clear" w:color="auto" w:fill="auto"/>
            <w:hideMark/>
          </w:tcPr>
          <w:p w:rsidR="00EF1D55" w:rsidRPr="00EF1D55" w:rsidRDefault="00EF1D55" w:rsidP="00EF1D55">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Índice de rezago social y brechas de pobreza</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29</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Educación y género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33</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 desarrollo humano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34</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Infraestructura educativa</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35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Población por localidades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37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Salud</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38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Apoyos sociales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40</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Migración</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41</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b/>
                <w:bCs/>
                <w:color w:val="000000"/>
                <w:sz w:val="24"/>
                <w:szCs w:val="24"/>
                <w:lang w:eastAsia="es-MX"/>
              </w:rPr>
            </w:pPr>
            <w:r w:rsidRPr="00EF1D55">
              <w:rPr>
                <w:rFonts w:eastAsia="Times New Roman" w:cs="Calibri"/>
                <w:b/>
                <w:bCs/>
                <w:color w:val="000000"/>
                <w:sz w:val="24"/>
                <w:szCs w:val="24"/>
                <w:lang w:eastAsia="es-MX"/>
              </w:rPr>
              <w:t>CAPITULO  II. La economía municipal</w:t>
            </w:r>
          </w:p>
        </w:tc>
        <w:tc>
          <w:tcPr>
            <w:tcW w:w="640" w:type="dxa"/>
            <w:shd w:val="clear" w:color="auto" w:fill="auto"/>
            <w:hideMark/>
          </w:tcPr>
          <w:p w:rsidR="00EF1D55" w:rsidRPr="00EF1D55" w:rsidRDefault="0081636B" w:rsidP="002C2C0E">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42</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 Producto Interno Bruto Municipal</w:t>
            </w:r>
          </w:p>
        </w:tc>
        <w:tc>
          <w:tcPr>
            <w:tcW w:w="640" w:type="dxa"/>
            <w:shd w:val="clear" w:color="auto" w:fill="auto"/>
            <w:hideMark/>
          </w:tcPr>
          <w:p w:rsidR="00EF1D55" w:rsidRPr="00EF1D55" w:rsidRDefault="0081636B" w:rsidP="002C2C0E">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43</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La estructura económica</w:t>
            </w:r>
          </w:p>
        </w:tc>
        <w:tc>
          <w:tcPr>
            <w:tcW w:w="640" w:type="dxa"/>
            <w:shd w:val="clear" w:color="auto" w:fill="auto"/>
            <w:hideMark/>
          </w:tcPr>
          <w:p w:rsidR="00EF1D55" w:rsidRPr="00EF1D55" w:rsidRDefault="0081636B" w:rsidP="0081636B">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44</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 empleo sectorial</w:t>
            </w:r>
          </w:p>
        </w:tc>
        <w:tc>
          <w:tcPr>
            <w:tcW w:w="640" w:type="dxa"/>
            <w:shd w:val="clear" w:color="auto" w:fill="auto"/>
            <w:hideMark/>
          </w:tcPr>
          <w:p w:rsidR="00EF1D55" w:rsidRPr="00EF1D55" w:rsidRDefault="0081636B" w:rsidP="0081636B">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47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Composición del PIBM</w:t>
            </w:r>
          </w:p>
        </w:tc>
        <w:tc>
          <w:tcPr>
            <w:tcW w:w="640" w:type="dxa"/>
            <w:shd w:val="clear" w:color="auto" w:fill="auto"/>
            <w:hideMark/>
          </w:tcPr>
          <w:p w:rsidR="00EF1D55" w:rsidRPr="00EF1D55" w:rsidRDefault="0081636B" w:rsidP="0081636B">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49</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Las remuneraciones salariales</w:t>
            </w:r>
          </w:p>
        </w:tc>
        <w:tc>
          <w:tcPr>
            <w:tcW w:w="640" w:type="dxa"/>
            <w:shd w:val="clear" w:color="auto" w:fill="auto"/>
            <w:hideMark/>
          </w:tcPr>
          <w:p w:rsidR="00EF1D55" w:rsidRPr="00EF1D55" w:rsidRDefault="0081636B" w:rsidP="0081636B">
            <w:pPr>
              <w:spacing w:after="0" w:line="240" w:lineRule="auto"/>
              <w:jc w:val="right"/>
              <w:rPr>
                <w:rFonts w:eastAsia="Times New Roman" w:cs="Calibri"/>
                <w:color w:val="000000"/>
                <w:sz w:val="24"/>
                <w:szCs w:val="24"/>
                <w:lang w:eastAsia="es-MX"/>
              </w:rPr>
            </w:pPr>
            <w:r>
              <w:rPr>
                <w:rFonts w:eastAsia="Times New Roman" w:cs="Calibri"/>
                <w:color w:val="000000"/>
                <w:sz w:val="24"/>
                <w:szCs w:val="24"/>
                <w:lang w:eastAsia="es-MX"/>
              </w:rPr>
              <w:t>51</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Las remuneraciones por sector productivo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53</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lastRenderedPageBreak/>
              <w:t>La productividad del trabajo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55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La productividad del trabajo por sector</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57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Coeficiente de productividad</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58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Coeficiente de especialización</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63</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Las actividades primarias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65</w:t>
            </w:r>
          </w:p>
        </w:tc>
      </w:tr>
      <w:bookmarkEnd w:id="1"/>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Ejidos y comunidades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67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Índice de ventas comercial</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69</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Transporte y comunicaciones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70</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Sistema financiero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76</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Remesas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81</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Turismo</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82</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Electricidad</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Apoyos productivos.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85</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b/>
                <w:bCs/>
                <w:color w:val="000000"/>
                <w:sz w:val="24"/>
                <w:szCs w:val="24"/>
                <w:lang w:eastAsia="es-MX"/>
              </w:rPr>
            </w:pPr>
            <w:r w:rsidRPr="00EF1D55">
              <w:rPr>
                <w:rFonts w:eastAsia="Times New Roman" w:cs="Calibri"/>
                <w:b/>
                <w:bCs/>
                <w:color w:val="000000"/>
                <w:sz w:val="24"/>
                <w:szCs w:val="24"/>
                <w:lang w:eastAsia="es-MX"/>
              </w:rPr>
              <w:t>CAPITULO  III. La hacienda pública municipa</w:t>
            </w:r>
            <w:r w:rsidR="002C2C0E">
              <w:rPr>
                <w:rFonts w:eastAsia="Times New Roman" w:cs="Calibri"/>
                <w:b/>
                <w:bCs/>
                <w:color w:val="000000"/>
                <w:sz w:val="24"/>
                <w:szCs w:val="24"/>
                <w:lang w:eastAsia="es-MX"/>
              </w:rPr>
              <w:t>l</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87</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Ingresos públicos municipales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88</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Principales impuestos y derechos</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94</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r w:rsidRPr="00EF1D55">
              <w:rPr>
                <w:rFonts w:eastAsia="Times New Roman" w:cs="Calibri"/>
                <w:color w:val="000000"/>
                <w:sz w:val="24"/>
                <w:szCs w:val="24"/>
                <w:lang w:eastAsia="es-MX"/>
              </w:rPr>
              <w:t>El gasto público municipal</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96</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color w:val="000000"/>
                <w:sz w:val="24"/>
                <w:szCs w:val="24"/>
                <w:lang w:eastAsia="es-MX"/>
              </w:rPr>
            </w:pP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p>
        </w:tc>
      </w:tr>
      <w:tr w:rsidR="00EF1D55" w:rsidRPr="00EF1D55" w:rsidTr="002C2C0E">
        <w:trPr>
          <w:trHeight w:val="375"/>
          <w:jc w:val="center"/>
        </w:trPr>
        <w:tc>
          <w:tcPr>
            <w:tcW w:w="7679" w:type="dxa"/>
            <w:shd w:val="clear" w:color="auto" w:fill="auto"/>
            <w:hideMark/>
          </w:tcPr>
          <w:p w:rsidR="00EF1D55" w:rsidRPr="00EF1D55" w:rsidRDefault="00EF1D55" w:rsidP="002C2C0E">
            <w:pPr>
              <w:spacing w:after="0" w:line="240" w:lineRule="auto"/>
              <w:rPr>
                <w:rFonts w:eastAsia="Times New Roman" w:cs="Calibri"/>
                <w:b/>
                <w:bCs/>
                <w:color w:val="000000"/>
                <w:sz w:val="24"/>
                <w:szCs w:val="24"/>
                <w:lang w:eastAsia="es-MX"/>
              </w:rPr>
            </w:pPr>
            <w:r w:rsidRPr="00EF1D55">
              <w:rPr>
                <w:rFonts w:eastAsia="Times New Roman" w:cs="Calibri"/>
                <w:b/>
                <w:bCs/>
                <w:color w:val="000000"/>
                <w:sz w:val="24"/>
                <w:szCs w:val="24"/>
                <w:lang w:eastAsia="es-MX"/>
              </w:rPr>
              <w:t>Anexo Estadístico</w:t>
            </w:r>
            <w:r w:rsidRPr="00EF1D55">
              <w:rPr>
                <w:rFonts w:eastAsia="Times New Roman" w:cs="Calibri"/>
                <w:color w:val="000000"/>
                <w:sz w:val="24"/>
                <w:szCs w:val="24"/>
                <w:lang w:eastAsia="es-MX"/>
              </w:rPr>
              <w:t>…</w:t>
            </w:r>
          </w:p>
        </w:tc>
        <w:tc>
          <w:tcPr>
            <w:tcW w:w="640" w:type="dxa"/>
            <w:shd w:val="clear" w:color="auto" w:fill="auto"/>
            <w:hideMark/>
          </w:tcPr>
          <w:p w:rsidR="00EF1D55" w:rsidRPr="00EF1D55" w:rsidRDefault="00EF1D55" w:rsidP="0081636B">
            <w:pPr>
              <w:spacing w:after="0" w:line="240" w:lineRule="auto"/>
              <w:jc w:val="right"/>
              <w:rPr>
                <w:rFonts w:eastAsia="Times New Roman" w:cs="Calibri"/>
                <w:color w:val="000000"/>
                <w:sz w:val="24"/>
                <w:szCs w:val="24"/>
                <w:lang w:eastAsia="es-MX"/>
              </w:rPr>
            </w:pPr>
            <w:r w:rsidRPr="00EF1D55">
              <w:rPr>
                <w:rFonts w:eastAsia="Times New Roman" w:cs="Calibri"/>
                <w:color w:val="000000"/>
                <w:sz w:val="24"/>
                <w:szCs w:val="24"/>
                <w:lang w:eastAsia="es-MX"/>
              </w:rPr>
              <w:t> </w:t>
            </w:r>
            <w:r w:rsidR="0081636B">
              <w:rPr>
                <w:rFonts w:eastAsia="Times New Roman" w:cs="Calibri"/>
                <w:color w:val="000000"/>
                <w:sz w:val="24"/>
                <w:szCs w:val="24"/>
                <w:lang w:eastAsia="es-MX"/>
              </w:rPr>
              <w:t>101</w:t>
            </w:r>
          </w:p>
        </w:tc>
      </w:tr>
    </w:tbl>
    <w:p w:rsidR="00EF1D55" w:rsidRPr="00772E03" w:rsidRDefault="00EF1D55" w:rsidP="0024145B">
      <w:pPr>
        <w:tabs>
          <w:tab w:val="left" w:pos="3750"/>
        </w:tabs>
        <w:spacing w:line="360" w:lineRule="auto"/>
        <w:rPr>
          <w:rFonts w:asciiTheme="minorHAnsi" w:eastAsia="Arial Unicode MS" w:hAnsiTheme="minorHAnsi" w:cstheme="minorHAnsi"/>
          <w:sz w:val="28"/>
          <w:szCs w:val="28"/>
        </w:rPr>
      </w:pPr>
    </w:p>
    <w:p w:rsidR="00EF1D55" w:rsidRDefault="00EF1D55">
      <w:pPr>
        <w:spacing w:after="0" w:line="240" w:lineRule="auto"/>
        <w:rPr>
          <w:rFonts w:asciiTheme="minorHAnsi" w:eastAsia="Arial Unicode MS" w:hAnsiTheme="minorHAnsi" w:cstheme="minorHAnsi"/>
          <w:b/>
        </w:rPr>
      </w:pPr>
      <w:r>
        <w:rPr>
          <w:rFonts w:asciiTheme="minorHAnsi" w:eastAsia="Arial Unicode MS" w:hAnsiTheme="minorHAnsi" w:cstheme="minorHAnsi"/>
          <w:b/>
        </w:rPr>
        <w:br w:type="page"/>
      </w:r>
    </w:p>
    <w:p w:rsidR="0024145B" w:rsidRPr="00772E03" w:rsidRDefault="0024145B" w:rsidP="0024145B">
      <w:pPr>
        <w:rPr>
          <w:rFonts w:asciiTheme="minorHAnsi" w:eastAsia="Arial Unicode MS" w:hAnsiTheme="minorHAnsi" w:cstheme="minorHAnsi"/>
          <w:b/>
        </w:rPr>
      </w:pPr>
    </w:p>
    <w:bookmarkEnd w:id="0"/>
    <w:p w:rsidR="00F0261F" w:rsidRPr="00772E03" w:rsidRDefault="00F0261F" w:rsidP="00382C62">
      <w:pPr>
        <w:spacing w:line="360" w:lineRule="auto"/>
        <w:rPr>
          <w:rFonts w:asciiTheme="minorHAnsi" w:eastAsia="Arial Unicode MS" w:hAnsiTheme="minorHAnsi" w:cstheme="minorHAnsi"/>
          <w:b/>
          <w:sz w:val="24"/>
          <w:szCs w:val="24"/>
        </w:rPr>
      </w:pPr>
      <w:r w:rsidRPr="00772E03">
        <w:rPr>
          <w:rFonts w:asciiTheme="minorHAnsi" w:eastAsia="Arial Unicode MS" w:hAnsiTheme="minorHAnsi" w:cstheme="minorHAnsi"/>
          <w:b/>
          <w:sz w:val="24"/>
          <w:szCs w:val="24"/>
        </w:rPr>
        <w:t>Introducción</w:t>
      </w:r>
    </w:p>
    <w:p w:rsidR="00F0261F" w:rsidRPr="00772E03" w:rsidRDefault="00F0261F" w:rsidP="00382C62">
      <w:pPr>
        <w:spacing w:line="360" w:lineRule="auto"/>
        <w:jc w:val="both"/>
        <w:rPr>
          <w:rFonts w:asciiTheme="minorHAnsi" w:eastAsia="Arial Unicode MS" w:hAnsiTheme="minorHAnsi" w:cstheme="minorHAnsi"/>
          <w:bCs/>
          <w:sz w:val="24"/>
          <w:szCs w:val="24"/>
        </w:rPr>
      </w:pPr>
      <w:r w:rsidRPr="00772E03">
        <w:rPr>
          <w:rFonts w:asciiTheme="minorHAnsi" w:eastAsia="Arial Unicode MS" w:hAnsiTheme="minorHAnsi" w:cstheme="minorHAnsi"/>
          <w:bCs/>
          <w:sz w:val="24"/>
          <w:szCs w:val="24"/>
        </w:rPr>
        <w:t xml:space="preserve">El presente análisis contiene </w:t>
      </w:r>
      <w:r w:rsidR="00BE5F46" w:rsidRPr="00772E03">
        <w:rPr>
          <w:rFonts w:asciiTheme="minorHAnsi" w:eastAsia="Arial Unicode MS" w:hAnsiTheme="minorHAnsi" w:cstheme="minorHAnsi"/>
          <w:bCs/>
          <w:sz w:val="24"/>
          <w:szCs w:val="24"/>
        </w:rPr>
        <w:t xml:space="preserve">el conjunto de elementos que describen </w:t>
      </w:r>
      <w:r w:rsidR="00750FAE" w:rsidRPr="00772E03">
        <w:rPr>
          <w:rFonts w:asciiTheme="minorHAnsi" w:eastAsia="Arial Unicode MS" w:hAnsiTheme="minorHAnsi" w:cstheme="minorHAnsi"/>
          <w:bCs/>
          <w:sz w:val="24"/>
          <w:szCs w:val="24"/>
        </w:rPr>
        <w:t>al municipio</w:t>
      </w:r>
      <w:r w:rsidR="00107824" w:rsidRPr="00772E03">
        <w:rPr>
          <w:rFonts w:asciiTheme="minorHAnsi" w:eastAsia="Arial Unicode MS" w:hAnsiTheme="minorHAnsi" w:cstheme="minorHAnsi"/>
          <w:bCs/>
          <w:sz w:val="24"/>
          <w:szCs w:val="24"/>
        </w:rPr>
        <w:t xml:space="preserve"> </w:t>
      </w:r>
      <w:r w:rsidR="00750FAE" w:rsidRPr="00772E03">
        <w:rPr>
          <w:rFonts w:asciiTheme="minorHAnsi" w:eastAsia="Arial Unicode MS" w:hAnsiTheme="minorHAnsi" w:cstheme="minorHAnsi"/>
          <w:bCs/>
          <w:sz w:val="24"/>
          <w:szCs w:val="24"/>
        </w:rPr>
        <w:t>de Coatzacoalcos; permitiendo estudiar su entorno social, económico y financiero, p</w:t>
      </w:r>
      <w:r w:rsidR="00BE5F46" w:rsidRPr="00772E03">
        <w:rPr>
          <w:rFonts w:asciiTheme="minorHAnsi" w:eastAsia="Arial Unicode MS" w:hAnsiTheme="minorHAnsi" w:cstheme="minorHAnsi"/>
          <w:bCs/>
          <w:sz w:val="24"/>
          <w:szCs w:val="24"/>
        </w:rPr>
        <w:t>or lo que hace posible un diagnó</w:t>
      </w:r>
      <w:r w:rsidR="00750FAE" w:rsidRPr="00772E03">
        <w:rPr>
          <w:rFonts w:asciiTheme="minorHAnsi" w:eastAsia="Arial Unicode MS" w:hAnsiTheme="minorHAnsi" w:cstheme="minorHAnsi"/>
          <w:bCs/>
          <w:sz w:val="24"/>
          <w:szCs w:val="24"/>
        </w:rPr>
        <w:t>stico detallad</w:t>
      </w:r>
      <w:r w:rsidR="00107824" w:rsidRPr="00772E03">
        <w:rPr>
          <w:rFonts w:asciiTheme="minorHAnsi" w:eastAsia="Arial Unicode MS" w:hAnsiTheme="minorHAnsi" w:cstheme="minorHAnsi"/>
          <w:bCs/>
          <w:sz w:val="24"/>
          <w:szCs w:val="24"/>
        </w:rPr>
        <w:t>o de su</w:t>
      </w:r>
      <w:r w:rsidR="005D6537" w:rsidRPr="00772E03">
        <w:rPr>
          <w:rFonts w:asciiTheme="minorHAnsi" w:eastAsia="Arial Unicode MS" w:hAnsiTheme="minorHAnsi" w:cstheme="minorHAnsi"/>
          <w:bCs/>
          <w:sz w:val="24"/>
          <w:szCs w:val="24"/>
        </w:rPr>
        <w:t xml:space="preserve"> desempeño a nivel</w:t>
      </w:r>
      <w:r w:rsidR="00750FAE" w:rsidRPr="00772E03">
        <w:rPr>
          <w:rFonts w:asciiTheme="minorHAnsi" w:eastAsia="Arial Unicode MS" w:hAnsiTheme="minorHAnsi" w:cstheme="minorHAnsi"/>
          <w:bCs/>
          <w:sz w:val="24"/>
          <w:szCs w:val="24"/>
        </w:rPr>
        <w:t xml:space="preserve"> estatal.</w:t>
      </w:r>
    </w:p>
    <w:p w:rsidR="00BE5F46" w:rsidRPr="00772E03" w:rsidRDefault="00BE5F46" w:rsidP="00382C62">
      <w:pPr>
        <w:spacing w:line="360" w:lineRule="auto"/>
        <w:jc w:val="both"/>
        <w:rPr>
          <w:rFonts w:asciiTheme="minorHAnsi" w:eastAsia="Arial Unicode MS" w:hAnsiTheme="minorHAnsi" w:cstheme="minorHAnsi"/>
          <w:bCs/>
          <w:sz w:val="24"/>
          <w:szCs w:val="24"/>
        </w:rPr>
      </w:pPr>
    </w:p>
    <w:p w:rsidR="005D6537" w:rsidRPr="00772E03" w:rsidRDefault="005D6537" w:rsidP="00382C62">
      <w:pPr>
        <w:spacing w:line="360" w:lineRule="auto"/>
        <w:jc w:val="both"/>
        <w:rPr>
          <w:rFonts w:asciiTheme="minorHAnsi" w:eastAsia="Arial Unicode MS" w:hAnsiTheme="minorHAnsi" w:cstheme="minorHAnsi"/>
          <w:bCs/>
          <w:sz w:val="24"/>
          <w:szCs w:val="24"/>
        </w:rPr>
      </w:pPr>
      <w:r w:rsidRPr="00772E03">
        <w:rPr>
          <w:rFonts w:asciiTheme="minorHAnsi" w:eastAsia="Arial Unicode MS" w:hAnsiTheme="minorHAnsi" w:cstheme="minorHAnsi"/>
          <w:bCs/>
          <w:sz w:val="24"/>
          <w:szCs w:val="24"/>
        </w:rPr>
        <w:t xml:space="preserve">La información aquí contenida es resultado de la recopilación de una serie de datos; a través </w:t>
      </w:r>
      <w:r w:rsidR="001547B6" w:rsidRPr="00772E03">
        <w:rPr>
          <w:rFonts w:asciiTheme="minorHAnsi" w:eastAsia="Arial Unicode MS" w:hAnsiTheme="minorHAnsi" w:cstheme="minorHAnsi"/>
          <w:bCs/>
          <w:sz w:val="24"/>
          <w:szCs w:val="24"/>
        </w:rPr>
        <w:t>de los cuales se analizó</w:t>
      </w:r>
      <w:r w:rsidRPr="00772E03">
        <w:rPr>
          <w:rFonts w:asciiTheme="minorHAnsi" w:eastAsia="Arial Unicode MS" w:hAnsiTheme="minorHAnsi" w:cstheme="minorHAnsi"/>
          <w:bCs/>
          <w:sz w:val="24"/>
          <w:szCs w:val="24"/>
        </w:rPr>
        <w:t xml:space="preserve"> cada situación y las principales características que determinan cada uno de los entornos que conforman al municipio de Coatzacoalcos.</w:t>
      </w:r>
    </w:p>
    <w:p w:rsidR="00BE5F46" w:rsidRPr="00772E03" w:rsidRDefault="00BE5F46" w:rsidP="00382C62">
      <w:pPr>
        <w:spacing w:line="360" w:lineRule="auto"/>
        <w:jc w:val="both"/>
        <w:rPr>
          <w:rFonts w:asciiTheme="minorHAnsi" w:eastAsia="Arial Unicode MS" w:hAnsiTheme="minorHAnsi" w:cstheme="minorHAnsi"/>
          <w:bCs/>
          <w:sz w:val="24"/>
          <w:szCs w:val="24"/>
        </w:rPr>
      </w:pPr>
    </w:p>
    <w:p w:rsidR="00F0261F" w:rsidRPr="00772E03" w:rsidRDefault="002A0B6F" w:rsidP="00382C62">
      <w:pPr>
        <w:spacing w:line="360" w:lineRule="auto"/>
        <w:jc w:val="both"/>
        <w:rPr>
          <w:rFonts w:asciiTheme="minorHAnsi" w:eastAsia="Arial Unicode MS" w:hAnsiTheme="minorHAnsi" w:cstheme="minorHAnsi"/>
          <w:sz w:val="24"/>
          <w:szCs w:val="24"/>
        </w:rPr>
      </w:pPr>
      <w:r w:rsidRPr="00772E03">
        <w:rPr>
          <w:rFonts w:asciiTheme="minorHAnsi" w:eastAsia="Arial Unicode MS" w:hAnsiTheme="minorHAnsi" w:cstheme="minorHAnsi"/>
          <w:sz w:val="24"/>
          <w:szCs w:val="24"/>
        </w:rPr>
        <w:t xml:space="preserve">En el primer capítulo </w:t>
      </w:r>
      <w:r w:rsidR="00F0261F" w:rsidRPr="00772E03">
        <w:rPr>
          <w:rFonts w:asciiTheme="minorHAnsi" w:eastAsia="Arial Unicode MS" w:hAnsiTheme="minorHAnsi" w:cstheme="minorHAnsi"/>
          <w:sz w:val="24"/>
          <w:szCs w:val="24"/>
        </w:rPr>
        <w:t xml:space="preserve"> se muestran las principales características demog</w:t>
      </w:r>
      <w:r w:rsidR="00382C62" w:rsidRPr="00772E03">
        <w:rPr>
          <w:rFonts w:asciiTheme="minorHAnsi" w:eastAsia="Arial Unicode MS" w:hAnsiTheme="minorHAnsi" w:cstheme="minorHAnsi"/>
          <w:sz w:val="24"/>
          <w:szCs w:val="24"/>
        </w:rPr>
        <w:t xml:space="preserve">ráficas del municipio, como </w:t>
      </w:r>
      <w:r w:rsidR="00F0261F" w:rsidRPr="00772E03">
        <w:rPr>
          <w:rFonts w:asciiTheme="minorHAnsi" w:eastAsia="Arial Unicode MS" w:hAnsiTheme="minorHAnsi" w:cstheme="minorHAnsi"/>
          <w:sz w:val="24"/>
          <w:szCs w:val="24"/>
        </w:rPr>
        <w:t>su ubicación, clima, estructura poblacional por edades y sexo, indicadores que determinan las condiciones de vida, entre las cuales destacan salud, educación, vivienda, bienes y servicios básicos y marginación.</w:t>
      </w:r>
    </w:p>
    <w:p w:rsidR="00BE5F46" w:rsidRPr="00772E03" w:rsidRDefault="00BE5F46" w:rsidP="00382C62">
      <w:pPr>
        <w:spacing w:line="360" w:lineRule="auto"/>
        <w:jc w:val="both"/>
        <w:rPr>
          <w:rFonts w:asciiTheme="minorHAnsi" w:eastAsia="Arial Unicode MS" w:hAnsiTheme="minorHAnsi" w:cstheme="minorHAnsi"/>
          <w:sz w:val="24"/>
          <w:szCs w:val="24"/>
        </w:rPr>
      </w:pPr>
    </w:p>
    <w:p w:rsidR="00F0261F" w:rsidRPr="00772E03" w:rsidRDefault="002A0B6F" w:rsidP="00382C62">
      <w:pPr>
        <w:spacing w:line="360" w:lineRule="auto"/>
        <w:jc w:val="both"/>
        <w:rPr>
          <w:rFonts w:asciiTheme="minorHAnsi" w:eastAsia="Arial Unicode MS" w:hAnsiTheme="minorHAnsi" w:cstheme="minorHAnsi"/>
          <w:sz w:val="24"/>
          <w:szCs w:val="24"/>
        </w:rPr>
      </w:pPr>
      <w:r w:rsidRPr="00772E03">
        <w:rPr>
          <w:rFonts w:asciiTheme="minorHAnsi" w:eastAsia="Arial Unicode MS" w:hAnsiTheme="minorHAnsi" w:cstheme="minorHAnsi"/>
          <w:sz w:val="24"/>
          <w:szCs w:val="24"/>
        </w:rPr>
        <w:t>El segundo capítulo</w:t>
      </w:r>
      <w:r w:rsidR="00F0261F" w:rsidRPr="00772E03">
        <w:rPr>
          <w:rFonts w:asciiTheme="minorHAnsi" w:eastAsia="Arial Unicode MS" w:hAnsiTheme="minorHAnsi" w:cstheme="minorHAnsi"/>
          <w:sz w:val="24"/>
          <w:szCs w:val="24"/>
        </w:rPr>
        <w:t xml:space="preserve"> implica la descripción de los factores económicos que definen y determinan la estructura del </w:t>
      </w:r>
      <w:r w:rsidR="001116E9" w:rsidRPr="00772E03">
        <w:rPr>
          <w:rFonts w:asciiTheme="minorHAnsi" w:eastAsia="Arial Unicode MS" w:hAnsiTheme="minorHAnsi" w:cstheme="minorHAnsi"/>
          <w:sz w:val="24"/>
          <w:szCs w:val="24"/>
        </w:rPr>
        <w:t xml:space="preserve">sistema </w:t>
      </w:r>
      <w:r w:rsidR="00BE5F46" w:rsidRPr="00772E03">
        <w:rPr>
          <w:rFonts w:asciiTheme="minorHAnsi" w:eastAsia="Arial Unicode MS" w:hAnsiTheme="minorHAnsi" w:cstheme="minorHAnsi"/>
          <w:sz w:val="24"/>
          <w:szCs w:val="24"/>
        </w:rPr>
        <w:t xml:space="preserve">económico </w:t>
      </w:r>
      <w:r w:rsidR="001116E9" w:rsidRPr="00772E03">
        <w:rPr>
          <w:rFonts w:asciiTheme="minorHAnsi" w:eastAsia="Arial Unicode MS" w:hAnsiTheme="minorHAnsi" w:cstheme="minorHAnsi"/>
          <w:sz w:val="24"/>
          <w:szCs w:val="24"/>
        </w:rPr>
        <w:t>del municipio de Coatzacoalcos</w:t>
      </w:r>
      <w:r w:rsidR="00BE5F46" w:rsidRPr="00772E03">
        <w:rPr>
          <w:rFonts w:asciiTheme="minorHAnsi" w:eastAsia="Arial Unicode MS" w:hAnsiTheme="minorHAnsi" w:cstheme="minorHAnsi"/>
          <w:sz w:val="24"/>
          <w:szCs w:val="24"/>
        </w:rPr>
        <w:t>. E</w:t>
      </w:r>
      <w:r w:rsidR="00F0261F" w:rsidRPr="00772E03">
        <w:rPr>
          <w:rFonts w:asciiTheme="minorHAnsi" w:eastAsia="Arial Unicode MS" w:hAnsiTheme="minorHAnsi" w:cstheme="minorHAnsi"/>
          <w:sz w:val="24"/>
          <w:szCs w:val="24"/>
        </w:rPr>
        <w:t>n este capítulo se encuentran explicadas variables como; Producto Interno Bruto Municipal, sectores de actividad económica, población ocupada, productividad y especialización.</w:t>
      </w:r>
    </w:p>
    <w:p w:rsidR="00BE5F46" w:rsidRPr="00772E03" w:rsidRDefault="00BE5F46" w:rsidP="00382C62">
      <w:pPr>
        <w:spacing w:line="360" w:lineRule="auto"/>
        <w:jc w:val="both"/>
        <w:rPr>
          <w:rFonts w:asciiTheme="minorHAnsi" w:eastAsia="Arial Unicode MS" w:hAnsiTheme="minorHAnsi" w:cstheme="minorHAnsi"/>
          <w:sz w:val="24"/>
          <w:szCs w:val="24"/>
        </w:rPr>
      </w:pPr>
    </w:p>
    <w:p w:rsidR="00F0261F" w:rsidRPr="00772E03" w:rsidRDefault="00F0261F" w:rsidP="00382C62">
      <w:pPr>
        <w:spacing w:line="360" w:lineRule="auto"/>
        <w:jc w:val="both"/>
        <w:rPr>
          <w:rFonts w:asciiTheme="minorHAnsi" w:eastAsia="Arial Unicode MS" w:hAnsiTheme="minorHAnsi" w:cstheme="minorHAnsi"/>
          <w:sz w:val="24"/>
          <w:szCs w:val="24"/>
        </w:rPr>
      </w:pPr>
      <w:r w:rsidRPr="00772E03">
        <w:rPr>
          <w:rFonts w:asciiTheme="minorHAnsi" w:eastAsia="Arial Unicode MS" w:hAnsiTheme="minorHAnsi" w:cstheme="minorHAnsi"/>
          <w:sz w:val="24"/>
          <w:szCs w:val="24"/>
        </w:rPr>
        <w:t>En el tercer capítulo es denominad</w:t>
      </w:r>
      <w:r w:rsidR="00BE5F46" w:rsidRPr="00772E03">
        <w:rPr>
          <w:rFonts w:asciiTheme="minorHAnsi" w:eastAsia="Arial Unicode MS" w:hAnsiTheme="minorHAnsi" w:cstheme="minorHAnsi"/>
          <w:sz w:val="24"/>
          <w:szCs w:val="24"/>
        </w:rPr>
        <w:t>o la hacienda pública municipal; en éste</w:t>
      </w:r>
      <w:r w:rsidRPr="00772E03">
        <w:rPr>
          <w:rFonts w:asciiTheme="minorHAnsi" w:eastAsia="Arial Unicode MS" w:hAnsiTheme="minorHAnsi" w:cstheme="minorHAnsi"/>
          <w:sz w:val="24"/>
          <w:szCs w:val="24"/>
        </w:rPr>
        <w:t xml:space="preserve"> se describe el comportamiento, evolución y estructura; tanto de los recursos que ingresan al gobierno municipal, así como los recursos que son ejercidos para llevar a cabo sus principales funciones, en la satisfacción de las demandas de su población.</w:t>
      </w:r>
    </w:p>
    <w:p w:rsidR="00F0261F" w:rsidRPr="00772E03" w:rsidRDefault="00F0261F" w:rsidP="00382C62">
      <w:pPr>
        <w:spacing w:line="360" w:lineRule="auto"/>
        <w:jc w:val="both"/>
        <w:rPr>
          <w:rFonts w:asciiTheme="minorHAnsi" w:eastAsia="Arial Unicode MS" w:hAnsiTheme="minorHAnsi" w:cstheme="minorHAnsi"/>
          <w:sz w:val="24"/>
          <w:szCs w:val="24"/>
        </w:rPr>
      </w:pPr>
      <w:r w:rsidRPr="00772E03">
        <w:rPr>
          <w:rFonts w:asciiTheme="minorHAnsi" w:eastAsia="Arial Unicode MS" w:hAnsiTheme="minorHAnsi" w:cstheme="minorHAnsi"/>
          <w:sz w:val="24"/>
          <w:szCs w:val="24"/>
        </w:rPr>
        <w:lastRenderedPageBreak/>
        <w:t xml:space="preserve">Entender la situación en que se encuentra </w:t>
      </w:r>
      <w:r w:rsidR="001116E9" w:rsidRPr="00772E03">
        <w:rPr>
          <w:rFonts w:asciiTheme="minorHAnsi" w:eastAsia="Arial Unicode MS" w:hAnsiTheme="minorHAnsi" w:cstheme="minorHAnsi"/>
          <w:sz w:val="24"/>
          <w:szCs w:val="24"/>
        </w:rPr>
        <w:t>en el municipio de Coatzacoalcos</w:t>
      </w:r>
      <w:r w:rsidRPr="00772E03">
        <w:rPr>
          <w:rFonts w:asciiTheme="minorHAnsi" w:eastAsia="Arial Unicode MS" w:hAnsiTheme="minorHAnsi" w:cstheme="minorHAnsi"/>
          <w:sz w:val="24"/>
          <w:szCs w:val="24"/>
        </w:rPr>
        <w:t>,  nos permitirá establecer cuáles son sus potencialidades y sus debilidades,   lo cual nos trae como resultado determinar el camino más viable para l</w:t>
      </w:r>
      <w:r w:rsidR="006736D3" w:rsidRPr="00772E03">
        <w:rPr>
          <w:rFonts w:asciiTheme="minorHAnsi" w:eastAsia="Arial Unicode MS" w:hAnsiTheme="minorHAnsi" w:cstheme="minorHAnsi"/>
          <w:sz w:val="24"/>
          <w:szCs w:val="24"/>
        </w:rPr>
        <w:t>ograr un desarrollo económico más equitativo</w:t>
      </w:r>
      <w:r w:rsidRPr="00772E03">
        <w:rPr>
          <w:rFonts w:asciiTheme="minorHAnsi" w:eastAsia="Arial Unicode MS" w:hAnsiTheme="minorHAnsi" w:cstheme="minorHAnsi"/>
          <w:sz w:val="24"/>
          <w:szCs w:val="24"/>
        </w:rPr>
        <w:t>, en el cual se vea beneficiado toda la población del municipio.</w:t>
      </w:r>
    </w:p>
    <w:p w:rsidR="001116E9" w:rsidRPr="00772E03" w:rsidRDefault="001116E9"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BE5F46" w:rsidRPr="00772E03" w:rsidRDefault="00BE5F46" w:rsidP="00B348BE">
      <w:pPr>
        <w:jc w:val="center"/>
        <w:rPr>
          <w:rFonts w:asciiTheme="minorHAnsi" w:hAnsiTheme="minorHAnsi" w:cstheme="minorHAnsi"/>
          <w:b/>
          <w:sz w:val="24"/>
          <w:szCs w:val="24"/>
        </w:rPr>
      </w:pPr>
    </w:p>
    <w:p w:rsidR="001116E9" w:rsidRPr="00772E03" w:rsidRDefault="001116E9" w:rsidP="00B348BE">
      <w:pPr>
        <w:jc w:val="center"/>
        <w:rPr>
          <w:rFonts w:asciiTheme="minorHAnsi" w:hAnsiTheme="minorHAnsi" w:cstheme="minorHAnsi"/>
          <w:b/>
          <w:sz w:val="24"/>
          <w:szCs w:val="24"/>
        </w:rPr>
      </w:pPr>
    </w:p>
    <w:p w:rsidR="00B348BE" w:rsidRPr="00772E03" w:rsidRDefault="001116E9" w:rsidP="00B348BE">
      <w:pPr>
        <w:jc w:val="center"/>
        <w:rPr>
          <w:rFonts w:asciiTheme="minorHAnsi" w:hAnsiTheme="minorHAnsi" w:cstheme="minorHAnsi"/>
          <w:b/>
          <w:sz w:val="56"/>
          <w:szCs w:val="56"/>
        </w:rPr>
      </w:pPr>
      <w:r w:rsidRPr="00772E03">
        <w:rPr>
          <w:rFonts w:asciiTheme="minorHAnsi" w:hAnsiTheme="minorHAnsi" w:cstheme="minorHAnsi"/>
          <w:b/>
          <w:sz w:val="56"/>
          <w:szCs w:val="56"/>
        </w:rPr>
        <w:t>Factores demográficos</w:t>
      </w:r>
    </w:p>
    <w:p w:rsidR="00B348BE" w:rsidRPr="00772E03" w:rsidRDefault="00B348BE" w:rsidP="00F0261F">
      <w:pPr>
        <w:jc w:val="both"/>
        <w:rPr>
          <w:rFonts w:asciiTheme="minorHAnsi" w:eastAsia="Arial Unicode MS" w:hAnsiTheme="minorHAnsi" w:cstheme="minorHAnsi"/>
          <w:sz w:val="24"/>
          <w:szCs w:val="24"/>
        </w:rPr>
      </w:pPr>
    </w:p>
    <w:p w:rsidR="00B348BE" w:rsidRPr="00772E03" w:rsidRDefault="00B348BE" w:rsidP="00F0261F">
      <w:pPr>
        <w:jc w:val="both"/>
        <w:rPr>
          <w:rFonts w:asciiTheme="minorHAnsi" w:eastAsia="Arial Unicode MS" w:hAnsiTheme="minorHAnsi" w:cstheme="minorHAnsi"/>
          <w:sz w:val="24"/>
          <w:szCs w:val="24"/>
        </w:rPr>
      </w:pPr>
    </w:p>
    <w:p w:rsidR="00B348BE" w:rsidRPr="00772E03" w:rsidRDefault="00B348BE"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1116E9" w:rsidRPr="00772E03" w:rsidRDefault="001116E9" w:rsidP="00F0261F">
      <w:pPr>
        <w:jc w:val="both"/>
        <w:rPr>
          <w:rFonts w:asciiTheme="minorHAnsi" w:eastAsia="Arial Unicode MS" w:hAnsiTheme="minorHAnsi" w:cstheme="minorHAnsi"/>
          <w:sz w:val="24"/>
          <w:szCs w:val="24"/>
        </w:rPr>
      </w:pPr>
    </w:p>
    <w:p w:rsidR="00B348BE" w:rsidRPr="00772E03" w:rsidRDefault="00B348BE" w:rsidP="00F0261F">
      <w:pPr>
        <w:jc w:val="both"/>
        <w:rPr>
          <w:rFonts w:asciiTheme="minorHAnsi" w:eastAsia="Arial Unicode MS" w:hAnsiTheme="minorHAnsi" w:cstheme="minorHAnsi"/>
          <w:sz w:val="24"/>
          <w:szCs w:val="24"/>
        </w:rPr>
      </w:pPr>
    </w:p>
    <w:p w:rsidR="00B348BE" w:rsidRPr="00772E03" w:rsidRDefault="001116E9" w:rsidP="00B348BE">
      <w:pPr>
        <w:jc w:val="right"/>
        <w:rPr>
          <w:rFonts w:asciiTheme="minorHAnsi" w:eastAsia="Arial Unicode MS" w:hAnsiTheme="minorHAnsi" w:cstheme="minorHAnsi"/>
          <w:sz w:val="56"/>
          <w:szCs w:val="56"/>
        </w:rPr>
      </w:pPr>
      <w:r w:rsidRPr="00772E03">
        <w:rPr>
          <w:rFonts w:asciiTheme="minorHAnsi" w:eastAsia="Arial Unicode MS" w:hAnsiTheme="minorHAnsi" w:cstheme="minorHAnsi"/>
          <w:sz w:val="56"/>
          <w:szCs w:val="56"/>
        </w:rPr>
        <w:t>Capítulo I</w:t>
      </w:r>
    </w:p>
    <w:p w:rsidR="007A1AE0" w:rsidRDefault="007A1AE0" w:rsidP="00B348BE">
      <w:pPr>
        <w:spacing w:line="360" w:lineRule="auto"/>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Aspectos geográficos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es clasificado como urbano; cuenta con 60 localidades con una superficie  de 471.2 km², el cual representa  un 0.65% del total del territorio estatal. Su densidad es  de 595.0 habitantes por kilómetro cuadrado.</w:t>
      </w:r>
    </w:p>
    <w:p w:rsidR="00B348BE" w:rsidRPr="00772E03" w:rsidRDefault="003E3A9E" w:rsidP="00912E32">
      <w:pPr>
        <w:spacing w:line="360" w:lineRule="auto"/>
        <w:jc w:val="both"/>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60288" behindDoc="1" locked="0" layoutInCell="1" allowOverlap="1">
            <wp:simplePos x="0" y="0"/>
            <wp:positionH relativeFrom="column">
              <wp:posOffset>1587112</wp:posOffset>
            </wp:positionH>
            <wp:positionV relativeFrom="paragraph">
              <wp:posOffset>89395</wp:posOffset>
            </wp:positionV>
            <wp:extent cx="2329927" cy="2434441"/>
            <wp:effectExtent l="19050" t="0" r="0" b="0"/>
            <wp:wrapNone/>
            <wp:docPr id="24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8" cstate="print"/>
                    <a:srcRect/>
                    <a:stretch>
                      <a:fillRect/>
                    </a:stretch>
                  </pic:blipFill>
                  <pic:spPr bwMode="auto">
                    <a:xfrm>
                      <a:off x="0" y="0"/>
                      <a:ext cx="2329927" cy="2434441"/>
                    </a:xfrm>
                    <a:prstGeom prst="rect">
                      <a:avLst/>
                    </a:prstGeom>
                    <a:noFill/>
                    <a:ln w="9525">
                      <a:noFill/>
                      <a:miter lim="800000"/>
                      <a:headEnd/>
                      <a:tailEnd/>
                    </a:ln>
                  </pic:spPr>
                </pic:pic>
              </a:graphicData>
            </a:graphic>
          </wp:anchor>
        </w:drawing>
      </w:r>
      <w:r w:rsidR="00B348BE" w:rsidRPr="00772E03">
        <w:rPr>
          <w:rFonts w:asciiTheme="minorHAnsi" w:hAnsiTheme="minorHAnsi" w:cstheme="minorHAnsi"/>
          <w:sz w:val="24"/>
          <w:szCs w:val="24"/>
        </w:rPr>
        <w:tab/>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1116E9" w:rsidRPr="00772E03" w:rsidRDefault="001116E9" w:rsidP="001116E9">
      <w:pPr>
        <w:spacing w:line="360" w:lineRule="auto"/>
        <w:jc w:val="both"/>
        <w:rPr>
          <w:rFonts w:asciiTheme="minorHAnsi" w:hAnsiTheme="minorHAnsi" w:cstheme="minorHAnsi"/>
          <w:sz w:val="24"/>
          <w:szCs w:val="24"/>
        </w:rPr>
      </w:pPr>
    </w:p>
    <w:p w:rsidR="00B348BE" w:rsidRPr="00772E03" w:rsidRDefault="00B348BE" w:rsidP="001116E9">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Se encuentra ubicado en la región Olmeca a una altitud de 10 metros sobre el nivel del mar; su latitud norte es de 18° 19´ y una longitud oeste de 94° 26.</w:t>
      </w:r>
    </w:p>
    <w:p w:rsidR="00B348BE" w:rsidRPr="00772E03" w:rsidRDefault="00B348BE" w:rsidP="001116E9">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Su clima es cálido-húmedo, con una temperatura media anual de 26.3°C, con precipitación pluvial la mayor parte del año, siendo más abundante en verano y principios de otoño. La precipitación media anual es de 2, 832.20 milímetros.</w:t>
      </w:r>
    </w:p>
    <w:p w:rsidR="00B348BE" w:rsidRPr="00772E03" w:rsidRDefault="003E3A9E" w:rsidP="0070418F">
      <w:pPr>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703296" behindDoc="1" locked="0" layoutInCell="1" allowOverlap="1">
            <wp:simplePos x="0" y="0"/>
            <wp:positionH relativeFrom="column">
              <wp:align>center</wp:align>
            </wp:positionH>
            <wp:positionV relativeFrom="paragraph">
              <wp:posOffset>17780</wp:posOffset>
            </wp:positionV>
            <wp:extent cx="3303270" cy="2163445"/>
            <wp:effectExtent l="19050" t="0" r="0" b="0"/>
            <wp:wrapSquare wrapText="bothSides"/>
            <wp:docPr id="241"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9" cstate="print"/>
                    <a:srcRect/>
                    <a:stretch>
                      <a:fillRect/>
                    </a:stretch>
                  </pic:blipFill>
                  <pic:spPr bwMode="auto">
                    <a:xfrm>
                      <a:off x="0" y="0"/>
                      <a:ext cx="3303270" cy="2163445"/>
                    </a:xfrm>
                    <a:prstGeom prst="rect">
                      <a:avLst/>
                    </a:prstGeom>
                    <a:noFill/>
                    <a:ln w="9525">
                      <a:noFill/>
                      <a:miter lim="800000"/>
                      <a:headEnd/>
                      <a:tailEnd/>
                    </a:ln>
                  </pic:spPr>
                </pic:pic>
              </a:graphicData>
            </a:graphic>
          </wp:anchor>
        </w:drawing>
      </w:r>
      <w:r w:rsidR="00B348BE" w:rsidRPr="00772E03">
        <w:rPr>
          <w:rFonts w:asciiTheme="minorHAnsi" w:hAnsiTheme="minorHAnsi" w:cstheme="minorHAnsi"/>
          <w:sz w:val="24"/>
          <w:szCs w:val="24"/>
        </w:rPr>
        <w:tab/>
      </w:r>
    </w:p>
    <w:p w:rsidR="0070418F" w:rsidRDefault="0070418F" w:rsidP="0070418F">
      <w:pPr>
        <w:rPr>
          <w:rFonts w:asciiTheme="minorHAnsi" w:hAnsiTheme="minorHAnsi" w:cstheme="minorHAnsi"/>
          <w:sz w:val="24"/>
          <w:szCs w:val="24"/>
        </w:rPr>
      </w:pPr>
    </w:p>
    <w:p w:rsidR="00912E32" w:rsidRDefault="00912E32" w:rsidP="0070418F">
      <w:pPr>
        <w:rPr>
          <w:rFonts w:asciiTheme="minorHAnsi" w:hAnsiTheme="minorHAnsi" w:cstheme="minorHAnsi"/>
          <w:sz w:val="24"/>
          <w:szCs w:val="24"/>
        </w:rPr>
      </w:pPr>
    </w:p>
    <w:p w:rsidR="00912E32" w:rsidRDefault="00912E32" w:rsidP="0070418F">
      <w:pPr>
        <w:rPr>
          <w:rFonts w:asciiTheme="minorHAnsi" w:hAnsiTheme="minorHAnsi" w:cstheme="minorHAnsi"/>
          <w:sz w:val="24"/>
          <w:szCs w:val="24"/>
        </w:rPr>
      </w:pPr>
    </w:p>
    <w:p w:rsidR="00912E32" w:rsidRDefault="00912E32" w:rsidP="0070418F">
      <w:pPr>
        <w:rPr>
          <w:rFonts w:asciiTheme="minorHAnsi" w:hAnsiTheme="minorHAnsi" w:cstheme="minorHAnsi"/>
          <w:sz w:val="24"/>
          <w:szCs w:val="24"/>
        </w:rPr>
      </w:pPr>
    </w:p>
    <w:p w:rsidR="00912E32" w:rsidRPr="00772E03" w:rsidRDefault="00912E32" w:rsidP="0070418F">
      <w:pPr>
        <w:rPr>
          <w:rFonts w:asciiTheme="minorHAnsi" w:hAnsiTheme="minorHAnsi" w:cstheme="minorHAnsi"/>
          <w:sz w:val="24"/>
          <w:szCs w:val="24"/>
        </w:rPr>
      </w:pPr>
    </w:p>
    <w:p w:rsidR="0070418F" w:rsidRPr="00772E03" w:rsidRDefault="0070418F"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lastRenderedPageBreak/>
        <w:t>Regionalización</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Los principales municipios de la región Olmeca son: Coatzacoalcos, Minatitlán, </w:t>
      </w:r>
      <w:proofErr w:type="spellStart"/>
      <w:r w:rsidRPr="00772E03">
        <w:rPr>
          <w:rFonts w:asciiTheme="minorHAnsi" w:hAnsiTheme="minorHAnsi" w:cstheme="minorHAnsi"/>
          <w:sz w:val="24"/>
          <w:szCs w:val="24"/>
        </w:rPr>
        <w:t>Acayucan</w:t>
      </w:r>
      <w:proofErr w:type="spellEnd"/>
      <w:r w:rsidRPr="00772E03">
        <w:rPr>
          <w:rFonts w:asciiTheme="minorHAnsi" w:hAnsiTheme="minorHAnsi" w:cstheme="minorHAnsi"/>
          <w:sz w:val="24"/>
          <w:szCs w:val="24"/>
        </w:rPr>
        <w:t xml:space="preserve">, Las </w:t>
      </w:r>
      <w:proofErr w:type="spellStart"/>
      <w:r w:rsidRPr="00772E03">
        <w:rPr>
          <w:rFonts w:asciiTheme="minorHAnsi" w:hAnsiTheme="minorHAnsi" w:cstheme="minorHAnsi"/>
          <w:sz w:val="24"/>
          <w:szCs w:val="24"/>
        </w:rPr>
        <w:t>Choapas</w:t>
      </w:r>
      <w:proofErr w:type="spellEnd"/>
      <w:r w:rsidRPr="00772E03">
        <w:rPr>
          <w:rFonts w:asciiTheme="minorHAnsi" w:hAnsiTheme="minorHAnsi" w:cstheme="minorHAnsi"/>
          <w:sz w:val="24"/>
          <w:szCs w:val="24"/>
        </w:rPr>
        <w:t xml:space="preserve">, Agua Dulce, </w:t>
      </w:r>
      <w:proofErr w:type="spellStart"/>
      <w:r w:rsidRPr="00772E03">
        <w:rPr>
          <w:rFonts w:asciiTheme="minorHAnsi" w:hAnsiTheme="minorHAnsi" w:cstheme="minorHAnsi"/>
          <w:sz w:val="24"/>
          <w:szCs w:val="24"/>
        </w:rPr>
        <w:t>Jáltipan</w:t>
      </w:r>
      <w:proofErr w:type="spellEnd"/>
      <w:r w:rsidRPr="00772E03">
        <w:rPr>
          <w:rFonts w:asciiTheme="minorHAnsi" w:hAnsiTheme="minorHAnsi" w:cstheme="minorHAnsi"/>
          <w:sz w:val="24"/>
          <w:szCs w:val="24"/>
        </w:rPr>
        <w:t>, San Juan Evangelista, Sayula de Alemán, Soteapan y Nanchital.</w:t>
      </w:r>
    </w:p>
    <w:p w:rsidR="00B348BE" w:rsidRPr="00772E03" w:rsidRDefault="0070418F" w:rsidP="00B348BE">
      <w:pPr>
        <w:jc w:val="both"/>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62336" behindDoc="1" locked="0" layoutInCell="1" allowOverlap="1">
            <wp:simplePos x="0" y="0"/>
            <wp:positionH relativeFrom="column">
              <wp:posOffset>4066392</wp:posOffset>
            </wp:positionH>
            <wp:positionV relativeFrom="paragraph">
              <wp:posOffset>216446</wp:posOffset>
            </wp:positionV>
            <wp:extent cx="1450826" cy="1794617"/>
            <wp:effectExtent l="19050" t="0" r="0" b="0"/>
            <wp:wrapNone/>
            <wp:docPr id="23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cstate="print"/>
                    <a:srcRect/>
                    <a:stretch>
                      <a:fillRect/>
                    </a:stretch>
                  </pic:blipFill>
                  <pic:spPr bwMode="auto">
                    <a:xfrm>
                      <a:off x="0" y="0"/>
                      <a:ext cx="1450826" cy="1794617"/>
                    </a:xfrm>
                    <a:prstGeom prst="rect">
                      <a:avLst/>
                    </a:prstGeom>
                    <a:noFill/>
                    <a:ln w="9525">
                      <a:noFill/>
                      <a:miter lim="800000"/>
                      <a:headEnd/>
                      <a:tailEnd/>
                    </a:ln>
                  </pic:spPr>
                </pic:pic>
              </a:graphicData>
            </a:graphic>
          </wp:anchor>
        </w:drawing>
      </w:r>
      <w:r w:rsidR="003E3A9E" w:rsidRPr="00772E03">
        <w:rPr>
          <w:rFonts w:asciiTheme="minorHAnsi" w:hAnsiTheme="minorHAnsi" w:cstheme="minorHAnsi"/>
          <w:noProof/>
          <w:sz w:val="24"/>
          <w:szCs w:val="24"/>
          <w:lang w:eastAsia="es-MX"/>
        </w:rPr>
        <w:drawing>
          <wp:anchor distT="0" distB="0" distL="114300" distR="114300" simplePos="0" relativeHeight="251663360" behindDoc="1" locked="0" layoutInCell="1" allowOverlap="1">
            <wp:simplePos x="0" y="0"/>
            <wp:positionH relativeFrom="column">
              <wp:posOffset>-1406</wp:posOffset>
            </wp:positionH>
            <wp:positionV relativeFrom="paragraph">
              <wp:posOffset>156625</wp:posOffset>
            </wp:positionV>
            <wp:extent cx="2783970" cy="2751746"/>
            <wp:effectExtent l="19050" t="0" r="0" b="0"/>
            <wp:wrapNone/>
            <wp:docPr id="24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srcRect/>
                    <a:stretch>
                      <a:fillRect/>
                    </a:stretch>
                  </pic:blipFill>
                  <pic:spPr bwMode="auto">
                    <a:xfrm>
                      <a:off x="0" y="0"/>
                      <a:ext cx="2783970" cy="2751746"/>
                    </a:xfrm>
                    <a:prstGeom prst="rect">
                      <a:avLst/>
                    </a:prstGeom>
                    <a:noFill/>
                    <a:ln w="9525">
                      <a:noFill/>
                      <a:miter lim="800000"/>
                      <a:headEnd/>
                      <a:tailEnd/>
                    </a:ln>
                  </pic:spPr>
                </pic:pic>
              </a:graphicData>
            </a:graphic>
          </wp:anchor>
        </w:drawing>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both"/>
        <w:rPr>
          <w:rFonts w:asciiTheme="minorHAnsi" w:hAnsiTheme="minorHAnsi" w:cstheme="minorHAnsi"/>
          <w:sz w:val="24"/>
          <w:szCs w:val="24"/>
        </w:rPr>
      </w:pPr>
      <w:r>
        <w:rPr>
          <w:rFonts w:asciiTheme="minorHAnsi" w:hAnsiTheme="minorHAnsi" w:cstheme="minorHAnsi"/>
          <w:noProof/>
          <w:sz w:val="24"/>
          <w:szCs w:val="24"/>
          <w:lang w:eastAsia="es-MX" w:bidi="hi-IN"/>
        </w:rPr>
        <w:pict>
          <v:shapetype id="_x0000_t32" coordsize="21600,21600" o:spt="32" o:oned="t" path="m,l21600,21600e" filled="f">
            <v:path arrowok="t" fillok="f" o:connecttype="none"/>
            <o:lock v:ext="edit" shapetype="t"/>
          </v:shapetype>
          <v:shape id="_x0000_s1026" type="#_x0000_t32" style="position:absolute;left:0;text-align:left;margin-left:204.25pt;margin-top:16.3pt;width:128.45pt;height:51.25pt;flip:x;z-index:251664384" o:connectortype="straight" strokecolor="red" strokeweight="3pt">
            <v:stroke endarrow="block"/>
            <v:shadow type="perspective" color="#622423" opacity=".5" offset="1pt" offset2="-1pt"/>
          </v:shape>
        </w:pict>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tabs>
          <w:tab w:val="left" w:pos="7109"/>
        </w:tabs>
        <w:rPr>
          <w:rFonts w:asciiTheme="minorHAnsi" w:hAnsiTheme="minorHAnsi" w:cstheme="minorHAnsi"/>
          <w:sz w:val="24"/>
          <w:szCs w:val="24"/>
        </w:rPr>
      </w:pPr>
      <w:r w:rsidRPr="00772E03">
        <w:rPr>
          <w:rFonts w:asciiTheme="minorHAnsi" w:hAnsiTheme="minorHAnsi" w:cstheme="minorHAnsi"/>
          <w:sz w:val="24"/>
          <w:szCs w:val="24"/>
        </w:rPr>
        <w:tab/>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región Olmeca  está orientada al sector primario ya que; más del 64% está destinado a la actividad agropecuaria como pastizal y agricultura, el 28% es de área selvática con 466 426.07 hectáreas, es considerada la más grande de todas las regiones.</w:t>
      </w: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Aspectos electorales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entidad Veracruzana cuenta con XXX distritos electorales de los cuales al municipio de Coatzacoalcos le corresponde el distrito XXIX y XXX.</w:t>
      </w:r>
    </w:p>
    <w:p w:rsidR="0070418F" w:rsidRPr="00772E03" w:rsidRDefault="0070418F" w:rsidP="00B348BE">
      <w:pPr>
        <w:spacing w:line="360" w:lineRule="auto"/>
        <w:jc w:val="both"/>
        <w:rPr>
          <w:rFonts w:asciiTheme="minorHAnsi" w:hAnsiTheme="minorHAnsi" w:cstheme="minorHAnsi"/>
          <w:sz w:val="24"/>
          <w:szCs w:val="24"/>
        </w:rPr>
      </w:pPr>
    </w:p>
    <w:p w:rsidR="00B348BE" w:rsidRPr="00772E03" w:rsidRDefault="003E3A9E" w:rsidP="00B348BE">
      <w:pP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anchor distT="0" distB="0" distL="114300" distR="114300" simplePos="0" relativeHeight="251661312" behindDoc="1" locked="0" layoutInCell="1" allowOverlap="1">
            <wp:simplePos x="0" y="0"/>
            <wp:positionH relativeFrom="column">
              <wp:posOffset>647700</wp:posOffset>
            </wp:positionH>
            <wp:positionV relativeFrom="paragraph">
              <wp:posOffset>125095</wp:posOffset>
            </wp:positionV>
            <wp:extent cx="4561205" cy="4251325"/>
            <wp:effectExtent l="19050" t="0" r="0" b="0"/>
            <wp:wrapSquare wrapText="bothSides"/>
            <wp:docPr id="238"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12" cstate="print"/>
                    <a:srcRect/>
                    <a:stretch>
                      <a:fillRect/>
                    </a:stretch>
                  </pic:blipFill>
                  <pic:spPr bwMode="auto">
                    <a:xfrm>
                      <a:off x="0" y="0"/>
                      <a:ext cx="4561205" cy="4251325"/>
                    </a:xfrm>
                    <a:prstGeom prst="rect">
                      <a:avLst/>
                    </a:prstGeom>
                    <a:noFill/>
                    <a:ln w="9525">
                      <a:noFill/>
                      <a:miter lim="800000"/>
                      <a:headEnd/>
                      <a:tailEnd/>
                    </a:ln>
                  </pic:spPr>
                </pic:pic>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70418F" w:rsidRPr="00772E03" w:rsidRDefault="0070418F" w:rsidP="00B348BE">
      <w:pPr>
        <w:spacing w:line="360" w:lineRule="auto"/>
        <w:jc w:val="both"/>
        <w:rPr>
          <w:rFonts w:asciiTheme="minorHAnsi" w:hAnsiTheme="minorHAnsi" w:cstheme="minorHAnsi"/>
          <w:sz w:val="24"/>
          <w:szCs w:val="24"/>
        </w:rPr>
      </w:pPr>
    </w:p>
    <w:p w:rsidR="0070418F" w:rsidRPr="00772E03" w:rsidRDefault="0070418F" w:rsidP="00B348BE">
      <w:pPr>
        <w:spacing w:line="360" w:lineRule="auto"/>
        <w:jc w:val="both"/>
        <w:rPr>
          <w:rFonts w:asciiTheme="minorHAnsi" w:hAnsiTheme="minorHAnsi" w:cstheme="minorHAnsi"/>
          <w:sz w:val="24"/>
          <w:szCs w:val="24"/>
        </w:rPr>
      </w:pPr>
    </w:p>
    <w:p w:rsidR="0070418F" w:rsidRPr="00772E03" w:rsidRDefault="0070418F" w:rsidP="00B348BE">
      <w:pPr>
        <w:spacing w:line="360" w:lineRule="auto"/>
        <w:jc w:val="both"/>
        <w:rPr>
          <w:rFonts w:asciiTheme="minorHAnsi" w:hAnsiTheme="minorHAnsi" w:cstheme="minorHAnsi"/>
          <w:sz w:val="24"/>
          <w:szCs w:val="24"/>
        </w:rPr>
      </w:pPr>
    </w:p>
    <w:p w:rsidR="0070418F" w:rsidRPr="00772E03" w:rsidRDefault="0070418F" w:rsidP="00B348BE">
      <w:pPr>
        <w:spacing w:line="360" w:lineRule="auto"/>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distrito de Coatzacoalcos I se ubica al norte con Golfo de México; al sur y al oeste con el distrito XXVII, Cosoleacaque; y al este con el distrito XXX, Coatzacoalcos II. Así que el distrito  de Coatzacoalcos I tiene una extensión territorial de 212 Km², cuenta con 39 localidades y 146 secciones electorales.</w:t>
      </w:r>
    </w:p>
    <w:p w:rsidR="00B348BE" w:rsidRPr="00772E03" w:rsidRDefault="003E3A9E" w:rsidP="00B348BE">
      <w:pPr>
        <w:jc w:val="center"/>
        <w:rPr>
          <w:rFonts w:asciiTheme="minorHAnsi" w:hAnsiTheme="minorHAnsi" w:cstheme="minorHAnsi"/>
          <w:b/>
          <w:bCs/>
          <w:sz w:val="24"/>
          <w:szCs w:val="24"/>
        </w:rPr>
      </w:pPr>
      <w:r w:rsidRPr="00772E03">
        <w:rPr>
          <w:rFonts w:asciiTheme="minorHAnsi" w:hAnsiTheme="minorHAnsi" w:cstheme="minorHAnsi"/>
          <w:b/>
          <w:bCs/>
          <w:noProof/>
          <w:sz w:val="24"/>
          <w:szCs w:val="24"/>
          <w:lang w:eastAsia="es-MX"/>
        </w:rPr>
        <w:lastRenderedPageBreak/>
        <w:drawing>
          <wp:inline distT="0" distB="0" distL="0" distR="0">
            <wp:extent cx="3289082" cy="2427006"/>
            <wp:effectExtent l="19050" t="0" r="6568" b="0"/>
            <wp:docPr id="2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srcRect/>
                    <a:stretch>
                      <a:fillRect/>
                    </a:stretch>
                  </pic:blipFill>
                  <pic:spPr bwMode="auto">
                    <a:xfrm>
                      <a:off x="0" y="0"/>
                      <a:ext cx="3292190" cy="2429299"/>
                    </a:xfrm>
                    <a:prstGeom prst="rect">
                      <a:avLst/>
                    </a:prstGeom>
                    <a:noFill/>
                    <a:ln w="9525">
                      <a:noFill/>
                      <a:miter lim="800000"/>
                      <a:headEnd/>
                      <a:tailEnd/>
                    </a:ln>
                  </pic:spPr>
                </pic:pic>
              </a:graphicData>
            </a:graphic>
          </wp:inline>
        </w:drawing>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distrito de Coatzacoalcos II se localiza al norte con el Golfo de México, al sur con el estado de Chiapas y con el distrito XXVIII, Minatitlán; al este con el estado de Tabasco; y al oeste con los distritos XXIX, Coatzacoalcos I y XXVII, Cosoleacaque. </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distrito XXX. Coatzacoalcos II tiene una extensión territorial 3, 907 Km² y pertenecen 6 municipios </w:t>
      </w:r>
      <w:proofErr w:type="spellStart"/>
      <w:r w:rsidRPr="00772E03">
        <w:rPr>
          <w:rFonts w:asciiTheme="minorHAnsi" w:hAnsiTheme="minorHAnsi" w:cstheme="minorHAnsi"/>
          <w:sz w:val="24"/>
          <w:szCs w:val="24"/>
        </w:rPr>
        <w:t>Coatzcoalcos</w:t>
      </w:r>
      <w:proofErr w:type="spellEnd"/>
      <w:r w:rsidRPr="00772E03">
        <w:rPr>
          <w:rFonts w:asciiTheme="minorHAnsi" w:hAnsiTheme="minorHAnsi" w:cstheme="minorHAnsi"/>
          <w:sz w:val="24"/>
          <w:szCs w:val="24"/>
        </w:rPr>
        <w:t xml:space="preserve">, Las </w:t>
      </w:r>
      <w:proofErr w:type="spellStart"/>
      <w:r w:rsidRPr="00772E03">
        <w:rPr>
          <w:rFonts w:asciiTheme="minorHAnsi" w:hAnsiTheme="minorHAnsi" w:cstheme="minorHAnsi"/>
          <w:sz w:val="24"/>
          <w:szCs w:val="24"/>
        </w:rPr>
        <w:t>Choapas</w:t>
      </w:r>
      <w:proofErr w:type="spellEnd"/>
      <w:r w:rsidRPr="00772E03">
        <w:rPr>
          <w:rFonts w:asciiTheme="minorHAnsi" w:hAnsiTheme="minorHAnsi" w:cstheme="minorHAnsi"/>
          <w:sz w:val="24"/>
          <w:szCs w:val="24"/>
        </w:rPr>
        <w:t xml:space="preserve">, </w:t>
      </w:r>
      <w:proofErr w:type="spellStart"/>
      <w:r w:rsidRPr="00772E03">
        <w:rPr>
          <w:rFonts w:asciiTheme="minorHAnsi" w:hAnsiTheme="minorHAnsi" w:cstheme="minorHAnsi"/>
          <w:sz w:val="24"/>
          <w:szCs w:val="24"/>
        </w:rPr>
        <w:t>Ixhuatlán</w:t>
      </w:r>
      <w:proofErr w:type="spellEnd"/>
      <w:r w:rsidRPr="00772E03">
        <w:rPr>
          <w:rFonts w:asciiTheme="minorHAnsi" w:hAnsiTheme="minorHAnsi" w:cstheme="minorHAnsi"/>
          <w:sz w:val="24"/>
          <w:szCs w:val="24"/>
        </w:rPr>
        <w:t xml:space="preserve"> del Sureste, </w:t>
      </w:r>
      <w:proofErr w:type="spellStart"/>
      <w:r w:rsidRPr="00772E03">
        <w:rPr>
          <w:rFonts w:asciiTheme="minorHAnsi" w:hAnsiTheme="minorHAnsi" w:cstheme="minorHAnsi"/>
          <w:sz w:val="24"/>
          <w:szCs w:val="24"/>
        </w:rPr>
        <w:t>Moloacan</w:t>
      </w:r>
      <w:proofErr w:type="spellEnd"/>
      <w:r w:rsidRPr="00772E03">
        <w:rPr>
          <w:rFonts w:asciiTheme="minorHAnsi" w:hAnsiTheme="minorHAnsi" w:cstheme="minorHAnsi"/>
          <w:sz w:val="24"/>
          <w:szCs w:val="24"/>
        </w:rPr>
        <w:t>, Nanchital de L.C. del Río y Agua Dulce. Es preciso mencionar que pertenecen 1, 026 localidades y 135 secciones electorales.</w:t>
      </w:r>
    </w:p>
    <w:p w:rsidR="0070418F" w:rsidRPr="00772E03" w:rsidRDefault="0070418F" w:rsidP="00B348BE">
      <w:pPr>
        <w:spacing w:line="360" w:lineRule="auto"/>
        <w:jc w:val="both"/>
        <w:rPr>
          <w:rFonts w:asciiTheme="minorHAnsi" w:hAnsiTheme="minorHAnsi" w:cstheme="minorHAnsi"/>
          <w:sz w:val="24"/>
          <w:szCs w:val="24"/>
        </w:rPr>
      </w:pPr>
    </w:p>
    <w:p w:rsidR="00E737FC" w:rsidRPr="00772E03" w:rsidRDefault="00E737FC" w:rsidP="00B348BE">
      <w:pPr>
        <w:jc w:val="center"/>
        <w:rPr>
          <w:rFonts w:asciiTheme="minorHAnsi" w:hAnsiTheme="minorHAnsi" w:cstheme="minorHAnsi"/>
          <w:b/>
          <w:bCs/>
          <w:sz w:val="24"/>
          <w:szCs w:val="24"/>
        </w:rPr>
      </w:pPr>
    </w:p>
    <w:p w:rsidR="00E737FC" w:rsidRPr="00772E03" w:rsidRDefault="00E737FC" w:rsidP="00B348BE">
      <w:pPr>
        <w:jc w:val="center"/>
        <w:rPr>
          <w:rFonts w:asciiTheme="minorHAnsi" w:hAnsiTheme="minorHAnsi" w:cstheme="minorHAnsi"/>
          <w:b/>
          <w:bCs/>
          <w:sz w:val="24"/>
          <w:szCs w:val="24"/>
        </w:rPr>
      </w:pPr>
    </w:p>
    <w:p w:rsidR="00B348BE" w:rsidRPr="00772E03" w:rsidRDefault="003E3A9E" w:rsidP="00B348BE">
      <w:pPr>
        <w:jc w:val="center"/>
        <w:rPr>
          <w:rFonts w:asciiTheme="minorHAnsi" w:hAnsiTheme="minorHAnsi" w:cstheme="minorHAnsi"/>
          <w:b/>
          <w:bCs/>
          <w:sz w:val="24"/>
          <w:szCs w:val="24"/>
        </w:rPr>
      </w:pPr>
      <w:r w:rsidRPr="00772E03">
        <w:rPr>
          <w:rFonts w:asciiTheme="minorHAnsi" w:hAnsiTheme="minorHAnsi" w:cstheme="minorHAnsi"/>
          <w:noProof/>
          <w:sz w:val="24"/>
          <w:szCs w:val="24"/>
          <w:lang w:eastAsia="es-MX"/>
        </w:rPr>
        <w:lastRenderedPageBreak/>
        <w:drawing>
          <wp:inline distT="0" distB="0" distL="0" distR="0">
            <wp:extent cx="3187819" cy="2433540"/>
            <wp:effectExtent l="19050" t="0" r="0" b="0"/>
            <wp:docPr id="22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cstate="print"/>
                    <a:srcRect/>
                    <a:stretch>
                      <a:fillRect/>
                    </a:stretch>
                  </pic:blipFill>
                  <pic:spPr bwMode="auto">
                    <a:xfrm>
                      <a:off x="0" y="0"/>
                      <a:ext cx="3194185" cy="2438400"/>
                    </a:xfrm>
                    <a:prstGeom prst="rect">
                      <a:avLst/>
                    </a:prstGeom>
                    <a:noFill/>
                    <a:ln w="9525">
                      <a:noFill/>
                      <a:miter lim="800000"/>
                      <a:headEnd/>
                      <a:tailEnd/>
                    </a:ln>
                  </pic:spPr>
                </pic:pic>
              </a:graphicData>
            </a:graphic>
          </wp:inline>
        </w:drawing>
      </w:r>
    </w:p>
    <w:p w:rsidR="00E737FC" w:rsidRPr="00772E03" w:rsidRDefault="00E737FC" w:rsidP="00B348BE">
      <w:pPr>
        <w:spacing w:line="360" w:lineRule="auto"/>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El crecimiento demográfico</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tiene una población de 280 mil 363 habitantes, de acuerdo con el II Conteo de Población y Vivienda 2005. Esto representa el 3.9% de la población total del estado de Veracruz.</w:t>
      </w:r>
    </w:p>
    <w:p w:rsidR="00B348BE" w:rsidRPr="00772E03" w:rsidRDefault="003E3A9E" w:rsidP="00B348BE">
      <w:pPr>
        <w:jc w:val="both"/>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65408" behindDoc="0" locked="0" layoutInCell="1" allowOverlap="1">
            <wp:simplePos x="0" y="0"/>
            <wp:positionH relativeFrom="column">
              <wp:align>center</wp:align>
            </wp:positionH>
            <wp:positionV relativeFrom="paragraph">
              <wp:posOffset>31242</wp:posOffset>
            </wp:positionV>
            <wp:extent cx="4016502" cy="2674874"/>
            <wp:effectExtent l="57150" t="19050" r="79248" b="49276"/>
            <wp:wrapSquare wrapText="bothSides"/>
            <wp:docPr id="237" name="Gráfic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29009B" w:rsidP="00B348BE">
      <w:pP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27" type="#_x0000_t202" style="position:absolute;margin-left:71.3pt;margin-top:44.05pt;width:240.05pt;height:13.8pt;z-index:251668480" strokecolor="white">
            <v:textbox style="mso-next-textbox:#_x0000_s1027">
              <w:txbxContent>
                <w:p w:rsidR="00912E32" w:rsidRPr="00DD5313" w:rsidRDefault="00912E32" w:rsidP="00B348BE">
                  <w:pPr>
                    <w:rPr>
                      <w:rFonts w:ascii="Arial" w:hAnsi="Arial" w:cs="Arial"/>
                    </w:rPr>
                  </w:pPr>
                  <w:r w:rsidRPr="00972702">
                    <w:rPr>
                      <w:rFonts w:ascii="Arial" w:hAnsi="Arial" w:cs="Arial"/>
                      <w:sz w:val="12"/>
                      <w:szCs w:val="12"/>
                    </w:rPr>
                    <w:t>Fuente: Censos y Conteos de Población y Vivienda 1970-2005. Inegi</w:t>
                  </w:r>
                </w:p>
              </w:txbxContent>
            </v:textbox>
          </v:shape>
        </w:pict>
      </w:r>
    </w:p>
    <w:p w:rsidR="0070418F" w:rsidRPr="00772E03" w:rsidRDefault="0070418F" w:rsidP="00B348BE">
      <w:pPr>
        <w:tabs>
          <w:tab w:val="left" w:pos="5098"/>
        </w:tabs>
        <w:spacing w:line="360" w:lineRule="auto"/>
        <w:jc w:val="both"/>
        <w:rPr>
          <w:rFonts w:asciiTheme="minorHAnsi" w:hAnsiTheme="minorHAnsi" w:cstheme="minorHAnsi"/>
          <w:sz w:val="24"/>
          <w:szCs w:val="24"/>
        </w:rPr>
      </w:pPr>
    </w:p>
    <w:p w:rsidR="0070418F" w:rsidRPr="00772E03" w:rsidRDefault="0070418F" w:rsidP="00B348BE">
      <w:pPr>
        <w:tabs>
          <w:tab w:val="left" w:pos="5098"/>
        </w:tabs>
        <w:spacing w:line="360" w:lineRule="auto"/>
        <w:jc w:val="both"/>
        <w:rPr>
          <w:rFonts w:asciiTheme="minorHAnsi" w:hAnsiTheme="minorHAnsi" w:cstheme="minorHAnsi"/>
          <w:sz w:val="24"/>
          <w:szCs w:val="24"/>
        </w:rPr>
      </w:pPr>
    </w:p>
    <w:p w:rsidR="00B348BE" w:rsidRPr="00772E03" w:rsidRDefault="00B348BE" w:rsidP="00B348BE">
      <w:pPr>
        <w:tabs>
          <w:tab w:val="left" w:pos="509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población ha venido creciendo de manera significativa en las últimas décadas; de 1970-2005  el incremento en el número habitantes fue de 170 mil 775; el cual representa un </w:t>
      </w:r>
      <w:r w:rsidRPr="00772E03">
        <w:rPr>
          <w:rFonts w:asciiTheme="minorHAnsi" w:hAnsiTheme="minorHAnsi" w:cstheme="minorHAnsi"/>
          <w:sz w:val="24"/>
          <w:szCs w:val="24"/>
        </w:rPr>
        <w:lastRenderedPageBreak/>
        <w:t>aumento de 156%, una de las tasa más altas de crecimiento dentro del grupo de los municipios grandes como Boca del Río, que creció un 518% en el mismo periodo, Cosoleacaque un 411%, y Xalapa un 217%.</w:t>
      </w:r>
    </w:p>
    <w:p w:rsidR="00B348BE" w:rsidRPr="00772E03" w:rsidRDefault="00B348BE" w:rsidP="00B348BE">
      <w:pPr>
        <w:tabs>
          <w:tab w:val="left" w:pos="509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Coatzacoalcos, el mayor crecimiento poblacional se registro en el periodo intercensal 1970-1980, cuando el número de habitantes aumento en un 35.3%, a una tasa media anual del 5.4%, lo cual representó 75 mil 541personas más. Por tanto, para el periodo 1980-1990 la dinámica demográfica disminuyó considerablemente ya que el número de habitantes creció en un 25%, a una tasa media anual de 2.3%, esto equivale a 46 mil 986 más.</w:t>
      </w:r>
    </w:p>
    <w:p w:rsidR="00B348BE" w:rsidRPr="00772E03" w:rsidRDefault="003E3A9E" w:rsidP="00B348BE">
      <w:pPr>
        <w:tabs>
          <w:tab w:val="left" w:pos="5098"/>
        </w:tabs>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66432" behindDoc="0" locked="0" layoutInCell="1" allowOverlap="1">
            <wp:simplePos x="0" y="0"/>
            <wp:positionH relativeFrom="column">
              <wp:align>center</wp:align>
            </wp:positionH>
            <wp:positionV relativeFrom="paragraph">
              <wp:posOffset>14732</wp:posOffset>
            </wp:positionV>
            <wp:extent cx="4321937" cy="2841752"/>
            <wp:effectExtent l="57150" t="19050" r="78613" b="53848"/>
            <wp:wrapSquare wrapText="bothSides"/>
            <wp:docPr id="236"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p>
    <w:p w:rsidR="00B348BE" w:rsidRPr="00772E03" w:rsidRDefault="00B348BE" w:rsidP="00B348BE">
      <w:pPr>
        <w:tabs>
          <w:tab w:val="left" w:pos="5098"/>
        </w:tabs>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29009B" w:rsidP="00B348BE">
      <w:pP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29" type="#_x0000_t202" style="position:absolute;margin-left:59.25pt;margin-top:5pt;width:240.05pt;height:13.8pt;z-index:251677696" strokecolor="white">
            <v:textbox style="mso-next-textbox:#_x0000_s1029">
              <w:txbxContent>
                <w:p w:rsidR="00912E32" w:rsidRPr="00DD5313" w:rsidRDefault="00912E32" w:rsidP="005F15D3">
                  <w:pPr>
                    <w:spacing w:line="240" w:lineRule="auto"/>
                    <w:rPr>
                      <w:rFonts w:ascii="Arial" w:hAnsi="Arial" w:cs="Arial"/>
                    </w:rPr>
                  </w:pPr>
                  <w:r w:rsidRPr="00972702">
                    <w:rPr>
                      <w:rFonts w:ascii="Arial" w:hAnsi="Arial" w:cs="Arial"/>
                      <w:sz w:val="12"/>
                      <w:szCs w:val="12"/>
                    </w:rPr>
                    <w:t>Fuente: Censos y Conteos de Población y Vivienda 1970-2005. Inegi</w:t>
                  </w:r>
                </w:p>
              </w:txbxContent>
            </v:textbox>
          </v:shape>
        </w:pict>
      </w:r>
    </w:p>
    <w:p w:rsidR="00B348BE" w:rsidRPr="00772E03" w:rsidRDefault="00B348BE" w:rsidP="00B348BE">
      <w:pPr>
        <w:tabs>
          <w:tab w:val="left" w:pos="5189"/>
        </w:tabs>
        <w:spacing w:after="0" w:line="240" w:lineRule="auto"/>
        <w:jc w:val="both"/>
        <w:rPr>
          <w:rFonts w:asciiTheme="minorHAnsi" w:hAnsiTheme="minorHAnsi" w:cstheme="minorHAnsi"/>
          <w:sz w:val="24"/>
          <w:szCs w:val="24"/>
        </w:rPr>
      </w:pPr>
    </w:p>
    <w:p w:rsidR="00E737FC" w:rsidRPr="00772E03" w:rsidRDefault="00E737FC" w:rsidP="00B348BE">
      <w:pPr>
        <w:tabs>
          <w:tab w:val="left" w:pos="5189"/>
        </w:tabs>
        <w:spacing w:after="0" w:line="360" w:lineRule="auto"/>
        <w:jc w:val="both"/>
        <w:rPr>
          <w:rFonts w:asciiTheme="minorHAnsi" w:hAnsiTheme="minorHAnsi" w:cstheme="minorHAnsi"/>
          <w:sz w:val="24"/>
          <w:szCs w:val="24"/>
        </w:rPr>
      </w:pPr>
    </w:p>
    <w:p w:rsidR="00B348BE" w:rsidRPr="00772E03" w:rsidRDefault="00B348BE" w:rsidP="00B348BE">
      <w:pPr>
        <w:tabs>
          <w:tab w:val="left" w:pos="5189"/>
        </w:tabs>
        <w:spacing w:after="0" w:line="360" w:lineRule="auto"/>
        <w:jc w:val="both"/>
        <w:rPr>
          <w:rFonts w:asciiTheme="minorHAnsi" w:hAnsiTheme="minorHAnsi" w:cstheme="minorHAnsi"/>
          <w:sz w:val="24"/>
          <w:szCs w:val="24"/>
        </w:rPr>
      </w:pPr>
      <w:r w:rsidRPr="00772E03">
        <w:rPr>
          <w:rFonts w:asciiTheme="minorHAnsi" w:hAnsiTheme="minorHAnsi" w:cstheme="minorHAnsi"/>
          <w:sz w:val="24"/>
          <w:szCs w:val="24"/>
        </w:rPr>
        <w:t>Como se puede observar Coatzacoalcos siempre tuvo un mayor crecimiento poblacional que la Entidad Veracruzana. Entre 1990-2000, la población municipal  creció un 14.6%, aunque en términos absolutos  fue menor  (34 mil 097 personas más) a una tasa media anual de 1.4%, y en el periodo 2000-2005 aumento un 5% (13 mil 151 personas más) a una tasa anual media anual del 1%.</w:t>
      </w:r>
    </w:p>
    <w:p w:rsidR="00B348BE" w:rsidRPr="00772E03" w:rsidRDefault="00B348BE" w:rsidP="00B348BE">
      <w:pPr>
        <w:tabs>
          <w:tab w:val="left" w:pos="5189"/>
        </w:tabs>
        <w:spacing w:after="0"/>
        <w:jc w:val="both"/>
        <w:rPr>
          <w:rFonts w:asciiTheme="minorHAnsi" w:hAnsiTheme="minorHAnsi" w:cstheme="minorHAnsi"/>
          <w:sz w:val="24"/>
          <w:szCs w:val="24"/>
        </w:rPr>
      </w:pPr>
    </w:p>
    <w:p w:rsidR="00B348BE" w:rsidRPr="00772E03" w:rsidRDefault="003E3A9E" w:rsidP="00B348BE">
      <w:pPr>
        <w:tabs>
          <w:tab w:val="left" w:pos="5189"/>
        </w:tabs>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anchor distT="0" distB="0" distL="114300" distR="114300" simplePos="0" relativeHeight="251667456" behindDoc="0" locked="0" layoutInCell="1" allowOverlap="1">
            <wp:simplePos x="0" y="0"/>
            <wp:positionH relativeFrom="column">
              <wp:posOffset>522732</wp:posOffset>
            </wp:positionH>
            <wp:positionV relativeFrom="paragraph">
              <wp:posOffset>72517</wp:posOffset>
            </wp:positionV>
            <wp:extent cx="4569968" cy="2745232"/>
            <wp:effectExtent l="57150" t="19050" r="78232" b="55118"/>
            <wp:wrapSquare wrapText="bothSides"/>
            <wp:docPr id="235" name="Gráfic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29009B" w:rsidP="00B348BE">
      <w:pP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30" type="#_x0000_t202" style="position:absolute;margin-left:55.35pt;margin-top:1.1pt;width:240.05pt;height:13.8pt;z-index:251678720" strokecolor="white">
            <v:textbox style="mso-next-textbox:#_x0000_s1030">
              <w:txbxContent>
                <w:p w:rsidR="00912E32" w:rsidRPr="00DD5313" w:rsidRDefault="00912E32" w:rsidP="00B348BE">
                  <w:pPr>
                    <w:rPr>
                      <w:rFonts w:ascii="Arial" w:hAnsi="Arial" w:cs="Arial"/>
                    </w:rPr>
                  </w:pPr>
                  <w:r w:rsidRPr="00972702">
                    <w:rPr>
                      <w:rFonts w:ascii="Arial" w:hAnsi="Arial" w:cs="Arial"/>
                      <w:sz w:val="12"/>
                      <w:szCs w:val="12"/>
                    </w:rPr>
                    <w:t>Fuente: Censos y Conteos de Población y Vivienda 1970-2005. Inegi</w:t>
                  </w:r>
                </w:p>
              </w:txbxContent>
            </v:textbox>
          </v:shape>
        </w:pict>
      </w:r>
    </w:p>
    <w:p w:rsidR="00B348BE" w:rsidRPr="00772E03" w:rsidRDefault="00B348BE" w:rsidP="00B348BE">
      <w:pPr>
        <w:tabs>
          <w:tab w:val="left" w:pos="6837"/>
        </w:tabs>
        <w:rPr>
          <w:rFonts w:asciiTheme="minorHAnsi" w:hAnsiTheme="minorHAnsi" w:cstheme="minorHAnsi"/>
          <w:sz w:val="24"/>
          <w:szCs w:val="24"/>
        </w:rPr>
      </w:pPr>
    </w:p>
    <w:p w:rsidR="00B348BE" w:rsidRPr="00772E03" w:rsidRDefault="00B348BE" w:rsidP="00B348BE">
      <w:pPr>
        <w:tabs>
          <w:tab w:val="left" w:pos="6837"/>
        </w:tabs>
        <w:rPr>
          <w:rFonts w:asciiTheme="minorHAnsi" w:hAnsiTheme="minorHAnsi" w:cstheme="minorHAnsi"/>
          <w:b/>
          <w:bCs/>
          <w:sz w:val="24"/>
          <w:szCs w:val="24"/>
        </w:rPr>
      </w:pPr>
    </w:p>
    <w:p w:rsidR="00B348BE" w:rsidRPr="00772E03" w:rsidRDefault="00B348BE" w:rsidP="00B348BE">
      <w:pPr>
        <w:tabs>
          <w:tab w:val="left" w:pos="6837"/>
        </w:tabs>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Población por sexo</w:t>
      </w:r>
    </w:p>
    <w:p w:rsidR="00B348BE" w:rsidRPr="00772E03" w:rsidRDefault="00B348BE" w:rsidP="00BB504E">
      <w:pPr>
        <w:tabs>
          <w:tab w:val="left" w:pos="6837"/>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Del total de la población municipal, el 52%, 145 mil 577, son mujeres, en tanto que el 48%,  134 mil 786, son hombres. Esto representa un Cociente Mujeres/Hombres (CMH)</w:t>
      </w:r>
      <w:r w:rsidRPr="00772E03">
        <w:rPr>
          <w:rStyle w:val="Refdenotaalpie"/>
          <w:rFonts w:asciiTheme="minorHAnsi" w:hAnsiTheme="minorHAnsi" w:cstheme="minorHAnsi"/>
          <w:sz w:val="24"/>
          <w:szCs w:val="24"/>
        </w:rPr>
        <w:footnoteReference w:id="1"/>
      </w:r>
      <w:r w:rsidRPr="00772E03">
        <w:rPr>
          <w:rFonts w:asciiTheme="minorHAnsi" w:hAnsiTheme="minorHAnsi" w:cstheme="minorHAnsi"/>
          <w:sz w:val="24"/>
          <w:szCs w:val="24"/>
        </w:rPr>
        <w:t xml:space="preserve"> de 1.08 (108 mujeres por cada 100 hombres), lo cual significa una adecuada atención de salud y un trato igual entre mujeres y hombres en Coatzacoalcos.</w:t>
      </w:r>
    </w:p>
    <w:p w:rsidR="00F15EB4" w:rsidRPr="00772E03" w:rsidRDefault="00F15EB4" w:rsidP="00BB504E">
      <w:pPr>
        <w:tabs>
          <w:tab w:val="left" w:pos="6837"/>
        </w:tabs>
        <w:spacing w:line="360" w:lineRule="auto"/>
        <w:jc w:val="both"/>
        <w:rPr>
          <w:rFonts w:asciiTheme="minorHAnsi" w:hAnsiTheme="minorHAnsi" w:cstheme="minorHAnsi"/>
          <w:sz w:val="24"/>
          <w:szCs w:val="24"/>
        </w:rPr>
      </w:pPr>
    </w:p>
    <w:p w:rsidR="00F15EB4" w:rsidRPr="00772E03" w:rsidRDefault="00F15EB4" w:rsidP="00BB504E">
      <w:pPr>
        <w:tabs>
          <w:tab w:val="left" w:pos="6837"/>
        </w:tabs>
        <w:spacing w:line="360" w:lineRule="auto"/>
        <w:jc w:val="both"/>
        <w:rPr>
          <w:rFonts w:asciiTheme="minorHAnsi" w:hAnsiTheme="minorHAnsi" w:cstheme="minorHAnsi"/>
          <w:sz w:val="24"/>
          <w:szCs w:val="24"/>
        </w:rPr>
      </w:pPr>
    </w:p>
    <w:p w:rsidR="00F15EB4" w:rsidRPr="00772E03" w:rsidRDefault="00F15EB4" w:rsidP="00BB504E">
      <w:pPr>
        <w:tabs>
          <w:tab w:val="left" w:pos="6837"/>
        </w:tabs>
        <w:spacing w:line="360" w:lineRule="auto"/>
        <w:jc w:val="both"/>
        <w:rPr>
          <w:rFonts w:asciiTheme="minorHAnsi" w:hAnsiTheme="minorHAnsi" w:cstheme="minorHAnsi"/>
          <w:sz w:val="24"/>
          <w:szCs w:val="24"/>
        </w:rPr>
      </w:pPr>
    </w:p>
    <w:p w:rsidR="00B348BE" w:rsidRPr="00772E03" w:rsidRDefault="00967F7D" w:rsidP="00BB504E">
      <w:pPr>
        <w:spacing w:line="360" w:lineRule="auto"/>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anchor distT="0" distB="0" distL="114300" distR="114300" simplePos="0" relativeHeight="251669504" behindDoc="0" locked="0" layoutInCell="1" allowOverlap="1">
            <wp:simplePos x="0" y="0"/>
            <wp:positionH relativeFrom="column">
              <wp:posOffset>603250</wp:posOffset>
            </wp:positionH>
            <wp:positionV relativeFrom="paragraph">
              <wp:posOffset>278765</wp:posOffset>
            </wp:positionV>
            <wp:extent cx="4297045" cy="2846705"/>
            <wp:effectExtent l="57150" t="19050" r="84455" b="48895"/>
            <wp:wrapSquare wrapText="bothSides"/>
            <wp:docPr id="233" name="Gráfic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967F7D" w:rsidP="00B348BE">
      <w:pPr>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71552" behindDoc="0" locked="0" layoutInCell="1" allowOverlap="1">
            <wp:simplePos x="0" y="0"/>
            <wp:positionH relativeFrom="column">
              <wp:posOffset>2833839</wp:posOffset>
            </wp:positionH>
            <wp:positionV relativeFrom="paragraph">
              <wp:posOffset>97185</wp:posOffset>
            </wp:positionV>
            <wp:extent cx="683663" cy="769121"/>
            <wp:effectExtent l="0" t="0" r="0" b="0"/>
            <wp:wrapNone/>
            <wp:docPr id="232" name="Objeto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to 7"/>
                    <pic:cNvPicPr>
                      <a:picLocks noChangeAspect="1" noChangeArrowheads="1"/>
                    </pic:cNvPicPr>
                  </pic:nvPicPr>
                  <pic:blipFill>
                    <a:blip r:embed="rId19" cstate="print"/>
                    <a:srcRect l="-125638" t="-1114" r="-130664" b="-114758"/>
                    <a:stretch>
                      <a:fillRect/>
                    </a:stretch>
                  </pic:blipFill>
                  <pic:spPr bwMode="auto">
                    <a:xfrm>
                      <a:off x="0" y="0"/>
                      <a:ext cx="683663" cy="769121"/>
                    </a:xfrm>
                    <a:prstGeom prst="rect">
                      <a:avLst/>
                    </a:prstGeom>
                    <a:noFill/>
                    <a:ln w="9525">
                      <a:noFill/>
                      <a:miter lim="800000"/>
                      <a:headEnd/>
                      <a:tailEnd/>
                    </a:ln>
                  </pic:spPr>
                </pic:pic>
              </a:graphicData>
            </a:graphic>
          </wp:anchor>
        </w:drawing>
      </w:r>
      <w:r w:rsidRPr="00772E03">
        <w:rPr>
          <w:rFonts w:asciiTheme="minorHAnsi" w:hAnsiTheme="minorHAnsi" w:cstheme="minorHAnsi"/>
          <w:noProof/>
          <w:sz w:val="24"/>
          <w:szCs w:val="24"/>
          <w:lang w:eastAsia="es-MX"/>
        </w:rPr>
        <w:drawing>
          <wp:anchor distT="0" distB="0" distL="114300" distR="114300" simplePos="0" relativeHeight="251670528" behindDoc="0" locked="0" layoutInCell="1" allowOverlap="1">
            <wp:simplePos x="0" y="0"/>
            <wp:positionH relativeFrom="column">
              <wp:posOffset>1645973</wp:posOffset>
            </wp:positionH>
            <wp:positionV relativeFrom="paragraph">
              <wp:posOffset>88639</wp:posOffset>
            </wp:positionV>
            <wp:extent cx="675118" cy="863125"/>
            <wp:effectExtent l="0" t="0" r="0" b="0"/>
            <wp:wrapNone/>
            <wp:docPr id="231" name="Objeto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to 6"/>
                    <pic:cNvPicPr>
                      <a:picLocks noChangeAspect="1" noChangeArrowheads="1"/>
                    </pic:cNvPicPr>
                  </pic:nvPicPr>
                  <pic:blipFill>
                    <a:blip r:embed="rId20" cstate="print"/>
                    <a:srcRect l="-98416" t="-1256" r="-113179" b="-137573"/>
                    <a:stretch>
                      <a:fillRect/>
                    </a:stretch>
                  </pic:blipFill>
                  <pic:spPr bwMode="auto">
                    <a:xfrm>
                      <a:off x="0" y="0"/>
                      <a:ext cx="675118" cy="863125"/>
                    </a:xfrm>
                    <a:prstGeom prst="rect">
                      <a:avLst/>
                    </a:prstGeom>
                    <a:noFill/>
                    <a:ln w="9525">
                      <a:noFill/>
                      <a:miter lim="800000"/>
                      <a:headEnd/>
                      <a:tailEnd/>
                    </a:ln>
                  </pic:spPr>
                </pic:pic>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29009B" w:rsidP="00B348BE">
      <w:pPr>
        <w:rPr>
          <w:rFonts w:asciiTheme="minorHAnsi" w:hAnsiTheme="minorHAnsi" w:cstheme="minorHAnsi"/>
          <w:b/>
          <w:bCs/>
          <w:sz w:val="24"/>
          <w:szCs w:val="24"/>
        </w:rPr>
      </w:pPr>
      <w:r>
        <w:rPr>
          <w:rFonts w:asciiTheme="minorHAnsi" w:hAnsiTheme="minorHAnsi" w:cstheme="minorHAnsi"/>
          <w:b/>
          <w:bCs/>
          <w:noProof/>
          <w:sz w:val="24"/>
          <w:szCs w:val="24"/>
          <w:lang w:eastAsia="es-MX" w:bidi="hi-IN"/>
        </w:rPr>
        <w:pict>
          <v:shape id="_x0000_s1031" type="#_x0000_t202" style="position:absolute;margin-left:-321.5pt;margin-top:16.4pt;width:162.5pt;height:13.8pt;z-index:251679744" strokecolor="white">
            <v:textbox style="mso-next-textbox:#_x0000_s1031">
              <w:txbxContent>
                <w:p w:rsidR="00912E32" w:rsidRPr="00DD5313" w:rsidRDefault="00912E32" w:rsidP="00B348BE">
                  <w:pPr>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p>
    <w:p w:rsidR="00B348BE" w:rsidRPr="00772E03" w:rsidRDefault="00B348BE" w:rsidP="00B348BE">
      <w:pPr>
        <w:spacing w:line="360" w:lineRule="auto"/>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p>
    <w:p w:rsidR="00BB504E" w:rsidRPr="00772E03" w:rsidRDefault="00BB504E" w:rsidP="00B348BE">
      <w:pPr>
        <w:spacing w:line="360" w:lineRule="auto"/>
        <w:rPr>
          <w:rFonts w:asciiTheme="minorHAnsi" w:hAnsiTheme="minorHAnsi" w:cstheme="minorHAnsi"/>
          <w:b/>
          <w:bCs/>
          <w:sz w:val="24"/>
          <w:szCs w:val="24"/>
        </w:rPr>
      </w:pPr>
    </w:p>
    <w:p w:rsidR="00967F7D" w:rsidRPr="00772E03" w:rsidRDefault="0029009B" w:rsidP="00B348BE">
      <w:pPr>
        <w:spacing w:line="360" w:lineRule="auto"/>
        <w:rPr>
          <w:rFonts w:asciiTheme="minorHAnsi" w:hAnsiTheme="minorHAnsi" w:cstheme="minorHAnsi"/>
          <w:b/>
          <w:bCs/>
          <w:sz w:val="24"/>
          <w:szCs w:val="24"/>
        </w:rPr>
      </w:pPr>
      <w:r>
        <w:rPr>
          <w:rFonts w:asciiTheme="minorHAnsi" w:hAnsiTheme="minorHAnsi" w:cstheme="minorHAnsi"/>
          <w:b/>
          <w:bCs/>
          <w:noProof/>
          <w:sz w:val="24"/>
          <w:szCs w:val="24"/>
          <w:lang w:eastAsia="es-MX" w:bidi="hi-IN"/>
        </w:rPr>
        <w:pict>
          <v:shape id="_x0000_s1053" type="#_x0000_t202" style="position:absolute;margin-left:57.3pt;margin-top:4.5pt;width:167.35pt;height:13.8pt;z-index:251704320" strokecolor="white">
            <v:textbox style="mso-next-textbox:#_x0000_s1053">
              <w:txbxContent>
                <w:p w:rsidR="00912E32" w:rsidRPr="009A1E6D" w:rsidRDefault="00912E32" w:rsidP="00B348BE">
                  <w:pPr>
                    <w:rPr>
                      <w:rFonts w:ascii="Arial" w:hAnsi="Arial" w:cs="Arial"/>
                      <w:sz w:val="10"/>
                      <w:szCs w:val="10"/>
                    </w:rPr>
                  </w:pPr>
                  <w:r w:rsidRPr="009A1E6D">
                    <w:rPr>
                      <w:rFonts w:ascii="Arial" w:hAnsi="Arial" w:cs="Arial"/>
                      <w:sz w:val="10"/>
                      <w:szCs w:val="10"/>
                    </w:rPr>
                    <w:t>Fuente: II Conteo de Población y Vivienda 2005. Inegi.</w:t>
                  </w:r>
                </w:p>
              </w:txbxContent>
            </v:textbox>
          </v:shape>
        </w:pict>
      </w:r>
    </w:p>
    <w:p w:rsidR="003B639E" w:rsidRPr="00772E03" w:rsidRDefault="003B639E" w:rsidP="00B348BE">
      <w:pPr>
        <w:spacing w:line="360" w:lineRule="auto"/>
        <w:rPr>
          <w:rFonts w:asciiTheme="minorHAnsi" w:hAnsiTheme="minorHAnsi" w:cstheme="minorHAnsi"/>
          <w:b/>
          <w:bCs/>
          <w:sz w:val="24"/>
          <w:szCs w:val="24"/>
        </w:rPr>
      </w:pPr>
    </w:p>
    <w:p w:rsidR="00E737FC" w:rsidRPr="00772E03" w:rsidRDefault="00E737FC" w:rsidP="00B348BE">
      <w:pPr>
        <w:spacing w:line="360" w:lineRule="auto"/>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Estructura de la población por edades</w:t>
      </w:r>
    </w:p>
    <w:p w:rsidR="00B348BE" w:rsidRPr="00772E03" w:rsidRDefault="00B348BE" w:rsidP="00967F7D">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Es preciso mencionar la importancia que tiene la estructura de la población por edades. Se puede observar que la población  del municipio de Coatzacoalcos es joven. El 28% (76 mil 083 habitantes) son menores de 14 años, el 27% tiene edades entre 15 y 29 años y el 24% está entre los 30 y 49 años. En cambio existe un porcentaje menor en la población  de 45 y 59 años representando un 14%  y el grupo de 60 y más años sólo ocupa un 7%. </w:t>
      </w:r>
    </w:p>
    <w:p w:rsidR="00F15EB4" w:rsidRPr="00772E03" w:rsidRDefault="00F15EB4" w:rsidP="00967F7D">
      <w:pPr>
        <w:spacing w:line="360" w:lineRule="auto"/>
        <w:jc w:val="both"/>
        <w:rPr>
          <w:rFonts w:asciiTheme="minorHAnsi" w:hAnsiTheme="minorHAnsi" w:cstheme="minorHAnsi"/>
          <w:sz w:val="24"/>
          <w:szCs w:val="24"/>
        </w:rPr>
      </w:pPr>
    </w:p>
    <w:p w:rsidR="00F15EB4" w:rsidRPr="00772E03" w:rsidRDefault="00F15EB4" w:rsidP="00967F7D">
      <w:pPr>
        <w:spacing w:line="360" w:lineRule="auto"/>
        <w:jc w:val="both"/>
        <w:rPr>
          <w:rFonts w:asciiTheme="minorHAnsi" w:hAnsiTheme="minorHAnsi" w:cstheme="minorHAnsi"/>
          <w:sz w:val="24"/>
          <w:szCs w:val="24"/>
        </w:rPr>
      </w:pPr>
    </w:p>
    <w:p w:rsidR="00F15EB4" w:rsidRPr="00772E03" w:rsidRDefault="00F15EB4" w:rsidP="00967F7D">
      <w:pPr>
        <w:spacing w:line="360" w:lineRule="auto"/>
        <w:jc w:val="both"/>
        <w:rPr>
          <w:rFonts w:asciiTheme="minorHAnsi" w:hAnsiTheme="minorHAnsi" w:cstheme="minorHAnsi"/>
          <w:sz w:val="24"/>
          <w:szCs w:val="24"/>
        </w:rPr>
      </w:pPr>
    </w:p>
    <w:p w:rsidR="00F15EB4" w:rsidRPr="00772E03" w:rsidRDefault="00F15EB4" w:rsidP="00967F7D">
      <w:pPr>
        <w:spacing w:line="360" w:lineRule="auto"/>
        <w:jc w:val="both"/>
        <w:rPr>
          <w:rFonts w:asciiTheme="minorHAnsi" w:hAnsiTheme="minorHAnsi" w:cstheme="minorHAnsi"/>
          <w:sz w:val="24"/>
          <w:szCs w:val="24"/>
        </w:rPr>
      </w:pPr>
    </w:p>
    <w:p w:rsidR="00F15EB4" w:rsidRPr="00772E03" w:rsidRDefault="00F15EB4" w:rsidP="00967F7D">
      <w:pPr>
        <w:spacing w:line="360" w:lineRule="auto"/>
        <w:jc w:val="both"/>
        <w:rPr>
          <w:rFonts w:asciiTheme="minorHAnsi" w:hAnsiTheme="minorHAnsi" w:cstheme="minorHAnsi"/>
          <w:sz w:val="24"/>
          <w:szCs w:val="24"/>
        </w:rPr>
      </w:pPr>
    </w:p>
    <w:p w:rsidR="00B348BE" w:rsidRPr="00772E03" w:rsidRDefault="00967F7D" w:rsidP="00B348BE">
      <w:pP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anchor distT="0" distB="0" distL="114300" distR="114300" simplePos="0" relativeHeight="251672576" behindDoc="0" locked="0" layoutInCell="1" allowOverlap="1">
            <wp:simplePos x="0" y="0"/>
            <wp:positionH relativeFrom="column">
              <wp:posOffset>766445</wp:posOffset>
            </wp:positionH>
            <wp:positionV relativeFrom="paragraph">
              <wp:posOffset>29210</wp:posOffset>
            </wp:positionV>
            <wp:extent cx="4271645" cy="2822575"/>
            <wp:effectExtent l="57150" t="19050" r="71755" b="53975"/>
            <wp:wrapSquare wrapText="bothSides"/>
            <wp:docPr id="230" name="Gráfic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29009B" w:rsidP="003B639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50" type="#_x0000_t202" style="position:absolute;left:0;text-align:left;margin-left:232.15pt;margin-top:326.3pt;width:162.1pt;height:13.8pt;z-index:251699200" strokecolor="white">
            <v:textbox style="mso-next-textbox:#_x0000_s1050">
              <w:txbxContent>
                <w:p w:rsidR="00912E32" w:rsidRPr="009A1E6D" w:rsidRDefault="00912E32" w:rsidP="00B348BE">
                  <w:pPr>
                    <w:rPr>
                      <w:rFonts w:ascii="Arial" w:hAnsi="Arial" w:cs="Arial"/>
                      <w:sz w:val="10"/>
                      <w:szCs w:val="10"/>
                    </w:rPr>
                  </w:pPr>
                  <w:r w:rsidRPr="009A1E6D">
                    <w:rPr>
                      <w:rFonts w:ascii="Arial" w:hAnsi="Arial" w:cs="Arial"/>
                      <w:sz w:val="10"/>
                      <w:szCs w:val="10"/>
                    </w:rPr>
                    <w:t>Fuente: II Conteo de Población y Vivienda 2005. Inegi.</w:t>
                  </w:r>
                </w:p>
              </w:txbxContent>
            </v:textbox>
          </v:shape>
        </w:pict>
      </w:r>
      <w:r>
        <w:rPr>
          <w:rFonts w:asciiTheme="minorHAnsi" w:hAnsiTheme="minorHAnsi" w:cstheme="minorHAnsi"/>
          <w:noProof/>
          <w:sz w:val="24"/>
          <w:szCs w:val="24"/>
          <w:lang w:eastAsia="es-MX" w:bidi="hi-IN"/>
        </w:rPr>
        <w:pict>
          <v:shape id="_x0000_s1049" type="#_x0000_t202" style="position:absolute;left:0;text-align:left;margin-left:19.25pt;margin-top:326.65pt;width:167.35pt;height:13.8pt;z-index:251698176" strokecolor="white">
            <v:textbox style="mso-next-textbox:#_x0000_s1049">
              <w:txbxContent>
                <w:p w:rsidR="00912E32" w:rsidRPr="009A1E6D" w:rsidRDefault="00912E32" w:rsidP="00B348BE">
                  <w:pPr>
                    <w:rPr>
                      <w:rFonts w:ascii="Arial" w:hAnsi="Arial" w:cs="Arial"/>
                      <w:sz w:val="10"/>
                      <w:szCs w:val="10"/>
                    </w:rPr>
                  </w:pPr>
                  <w:r w:rsidRPr="009A1E6D">
                    <w:rPr>
                      <w:rFonts w:ascii="Arial" w:hAnsi="Arial" w:cs="Arial"/>
                      <w:sz w:val="10"/>
                      <w:szCs w:val="10"/>
                    </w:rPr>
                    <w:t>Fuente: II Conteo de Población y Vivienda 2005. Inegi.</w:t>
                  </w:r>
                </w:p>
              </w:txbxContent>
            </v:textbox>
          </v:shape>
        </w:pict>
      </w:r>
      <w:r w:rsidR="003E3A9E" w:rsidRPr="00772E03">
        <w:rPr>
          <w:rFonts w:asciiTheme="minorHAnsi" w:hAnsiTheme="minorHAnsi" w:cstheme="minorHAnsi"/>
          <w:noProof/>
          <w:sz w:val="24"/>
          <w:szCs w:val="24"/>
          <w:lang w:eastAsia="es-MX"/>
        </w:rPr>
        <w:drawing>
          <wp:inline distT="0" distB="0" distL="0" distR="0">
            <wp:extent cx="2605830" cy="4323949"/>
            <wp:effectExtent l="57150" t="19050" r="80220" b="57551"/>
            <wp:docPr id="95" name="Gráfic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003E3A9E" w:rsidRPr="00772E03">
        <w:rPr>
          <w:rFonts w:asciiTheme="minorHAnsi" w:hAnsiTheme="minorHAnsi" w:cstheme="minorHAnsi"/>
          <w:noProof/>
          <w:sz w:val="24"/>
          <w:szCs w:val="24"/>
          <w:lang w:eastAsia="es-MX"/>
        </w:rPr>
        <w:drawing>
          <wp:inline distT="0" distB="0" distL="0" distR="0">
            <wp:extent cx="2577942" cy="4320520"/>
            <wp:effectExtent l="57150" t="19050" r="70008" b="60980"/>
            <wp:docPr id="94" name="Gráfic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348BE" w:rsidRPr="00772E03" w:rsidRDefault="00B348BE" w:rsidP="00B348BE">
      <w:pPr>
        <w:spacing w:line="240" w:lineRule="auto"/>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Ahondando más en el tema se puede identificar el nivel de población que tiene cada uno de los municipios, en donde Coatzacoalcos ocupa el tercer lugar con una participación de 3.9%. Esto significa que su población es de 280 mil 363 habitantes; lo cual expresa que los habitantes demandarán más bienes y servicios para satisfacer sus necesidades básicas. </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Sin embargo, más de la mitad de la población es joven, es decir, con un 9.4% el grupo de 10 a 14 años es mayor, o sea, que se tiene que destinar más recursos a la educación; pero también es importante el grupo de 15 a 24 años de edad ya que es un grupo que está en edad de trabajar y, por tanto, el municipio de Coatzacoalcos destinará mayores recursos para mantener ocupados a este segmento de la población. </w:t>
      </w:r>
    </w:p>
    <w:p w:rsidR="00B348BE" w:rsidRPr="00772E03" w:rsidRDefault="00B348BE" w:rsidP="00B348BE">
      <w:pPr>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32" type="#_x0000_t202" style="position:absolute;left:0;text-align:left;margin-left:71.25pt;margin-top:302.1pt;width:160.85pt;height:14.95pt;z-index:251680768" strokecolor="white">
            <v:textbox style="mso-next-textbox:#_x0000_s1032">
              <w:txbxContent>
                <w:p w:rsidR="00912E32" w:rsidRPr="003B639E" w:rsidRDefault="00912E32" w:rsidP="00B348BE">
                  <w:pPr>
                    <w:rPr>
                      <w:rFonts w:ascii="Arial" w:hAnsi="Arial" w:cs="Arial"/>
                      <w:sz w:val="10"/>
                      <w:szCs w:val="10"/>
                    </w:rPr>
                  </w:pPr>
                  <w:r w:rsidRPr="003B639E">
                    <w:rPr>
                      <w:rFonts w:ascii="Arial" w:hAnsi="Arial" w:cs="Arial"/>
                      <w:sz w:val="10"/>
                      <w:szCs w:val="10"/>
                    </w:rPr>
                    <w:t>Fuente: II Conteo de Población y Vivienda 2005. Inegi.</w:t>
                  </w:r>
                </w:p>
              </w:txbxContent>
            </v:textbox>
          </v:shape>
        </w:pict>
      </w:r>
      <w:r>
        <w:rPr>
          <w:rFonts w:asciiTheme="minorHAnsi" w:hAnsiTheme="minorHAnsi" w:cstheme="minorHAnsi"/>
          <w:noProof/>
          <w:sz w:val="24"/>
          <w:szCs w:val="24"/>
          <w:lang w:eastAsia="es-MX" w:bidi="hi-IN"/>
        </w:rPr>
        <w:pict>
          <v:oval id="_x0000_s1028" style="position:absolute;left:0;text-align:left;margin-left:134.9pt;margin-top:182.2pt;width:241.3pt;height:119.9pt;z-index:251676672" filled="f" strokecolor="red">
            <v:stroke dashstyle="dash"/>
          </v:oval>
        </w:pict>
      </w:r>
      <w:r w:rsidR="003E3A9E" w:rsidRPr="00772E03">
        <w:rPr>
          <w:rFonts w:asciiTheme="minorHAnsi" w:hAnsiTheme="minorHAnsi" w:cstheme="minorHAnsi"/>
          <w:noProof/>
          <w:sz w:val="24"/>
          <w:szCs w:val="24"/>
          <w:lang w:eastAsia="es-MX"/>
        </w:rPr>
        <w:drawing>
          <wp:inline distT="0" distB="0" distL="0" distR="0">
            <wp:extent cx="4001818" cy="4021689"/>
            <wp:effectExtent l="57150" t="19050" r="74882" b="55011"/>
            <wp:docPr id="93" name="Gráfic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B348BE" w:rsidRPr="00772E03" w:rsidRDefault="00B348BE" w:rsidP="00B348BE">
      <w:pPr>
        <w:jc w:val="center"/>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Este indicador expresa, la atención que requieren cada uno de los grupos y principalmente la población de 70 años y más; los cuales dependen económicamente de la población en edad de trabajar, ya que, normalmente a esa edad existen muy pocas posibilidades de desempeño laboral. </w:t>
      </w:r>
    </w:p>
    <w:p w:rsidR="00B348BE" w:rsidRPr="00772E03" w:rsidRDefault="00B348BE" w:rsidP="00B348BE">
      <w:pPr>
        <w:spacing w:line="360" w:lineRule="auto"/>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Edades y género</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Ahondando más en el análisis por edad, podemos identificar la composición de la población según el sexo. Como se podrá observar la mayor población de mujeres se encuentra entre los 10 y 34 años de edad, en donde se concentra un 45.5% del total. Mientras que un 16% de población femenina se encuentra en edades entre 0 y 9 años. </w:t>
      </w: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33" type="#_x0000_t202" style="position:absolute;left:0;text-align:left;margin-left:62.2pt;margin-top:290.1pt;width:240.05pt;height:13.8pt;z-index:251681792" strokecolor="white">
            <v:textbox style="mso-next-textbox:#_x0000_s1033">
              <w:txbxContent>
                <w:p w:rsidR="00912E32" w:rsidRPr="00DD5313" w:rsidRDefault="00912E32" w:rsidP="00E737FC">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274480" cy="3883279"/>
            <wp:effectExtent l="19050" t="0" r="11770" b="2921"/>
            <wp:docPr id="92"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spacing w:line="360" w:lineRule="auto"/>
        <w:rPr>
          <w:rFonts w:asciiTheme="minorHAnsi" w:hAnsiTheme="minorHAnsi" w:cstheme="minorHAnsi"/>
          <w:sz w:val="24"/>
          <w:szCs w:val="24"/>
        </w:rPr>
      </w:pPr>
      <w:r w:rsidRPr="00772E03">
        <w:rPr>
          <w:rFonts w:asciiTheme="minorHAnsi" w:hAnsiTheme="minorHAnsi" w:cstheme="minorHAnsi"/>
          <w:sz w:val="24"/>
          <w:szCs w:val="24"/>
        </w:rPr>
        <w:t xml:space="preserve">Otro rango importante es la población femenina de 35 a 49 años con un 21.7%, el resto de la población femenina se ubica en un 10.2% entre 50 y64 años, y 4.8% de 65 años y más. </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rango de edades de la población femenina difiere en relación a la masculina ya que la mayor proporción de hombres entre 0 y 24 años, representa un 47.3%. El grupo de 25 y 54 años es de 41.3%, y el resto de la población masculina a partir de 55 y más años es 9.9%.</w:t>
      </w: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34" type="#_x0000_t202" style="position:absolute;left:0;text-align:left;margin-left:49.8pt;margin-top:202.7pt;width:240.05pt;height:13.8pt;z-index:251682816" strokecolor="white">
            <v:textbox style="mso-next-textbox:#_x0000_s1034">
              <w:txbxContent>
                <w:p w:rsidR="00912E32" w:rsidRPr="00DD5313" w:rsidRDefault="00912E32" w:rsidP="00E737FC">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573016" cy="2743073"/>
            <wp:effectExtent l="57150" t="19050" r="75184" b="57277"/>
            <wp:docPr id="91"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gráfica muestra  el comportamiento de la población por sexo y rango de edad para el municipio de Coatzacoalcos. Así mismo, la población masculina de 0 a 14 años representa un 28.7%, mientras que la población femenina solamente un 25.7%; por tanto los hombres son más que las mujeres en este grupo de edad. Sin embargo, la población femenina entre 15 y 44 años es de 51.9% y los hombres solo de 48.7%, en este sentido la población femenina tiene un mayor porcentaje en este rango de edad que los hombres. Y como se había señalado anteriormente,  a la población de 60 y más años se le tiene que prestar una mayor atención, ya que se observa como las mujeres conforman el 7.3%, mientras los hombres solo un 6.7%.</w:t>
      </w:r>
    </w:p>
    <w:p w:rsidR="00B348BE" w:rsidRPr="00772E03" w:rsidRDefault="00B348BE" w:rsidP="00B348BE">
      <w:pPr>
        <w:spacing w:line="360" w:lineRule="auto"/>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Jefes de familia en los hogares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mujer se ha caracterizado por formar parte de la población que solamente se dedica a cuestiones del hogar y sin embargo a lo largo de los años ha venido tomando terreno en diversos sectores de la actividad económica. En Coatzacoalcos, el 27% de los hogares tiene jefatura por parte de la mujer, en tanto que el 73% el jefe de familia es un hombre; las </w:t>
      </w:r>
      <w:r w:rsidRPr="00772E03">
        <w:rPr>
          <w:rFonts w:asciiTheme="minorHAnsi" w:hAnsiTheme="minorHAnsi" w:cstheme="minorHAnsi"/>
          <w:sz w:val="24"/>
          <w:szCs w:val="24"/>
        </w:rPr>
        <w:lastRenderedPageBreak/>
        <w:t>cifras anteriores representan que el hombre sigue ocupando un alto porcentaje de mando en los hogares, es decir, que las mujeres solo representan menos de la mitad en este ámbito.</w:t>
      </w:r>
    </w:p>
    <w:p w:rsidR="00B348BE" w:rsidRPr="00772E03" w:rsidRDefault="003E3A9E" w:rsidP="00B348BE">
      <w:pPr>
        <w:jc w:val="both"/>
        <w:rPr>
          <w:rFonts w:asciiTheme="minorHAnsi" w:hAnsiTheme="minorHAnsi" w:cstheme="minorHAnsi"/>
          <w:sz w:val="24"/>
          <w:szCs w:val="24"/>
        </w:rPr>
      </w:pPr>
      <w:r w:rsidRPr="00772E03">
        <w:rPr>
          <w:rFonts w:asciiTheme="minorHAnsi" w:hAnsiTheme="minorHAnsi" w:cstheme="minorHAnsi"/>
          <w:noProof/>
          <w:sz w:val="24"/>
          <w:szCs w:val="24"/>
          <w:lang w:eastAsia="es-MX"/>
        </w:rPr>
        <w:drawing>
          <wp:anchor distT="0" distB="0" distL="114300" distR="114300" simplePos="0" relativeHeight="251673600" behindDoc="0" locked="0" layoutInCell="1" allowOverlap="1">
            <wp:simplePos x="0" y="0"/>
            <wp:positionH relativeFrom="column">
              <wp:posOffset>635635</wp:posOffset>
            </wp:positionH>
            <wp:positionV relativeFrom="paragraph">
              <wp:posOffset>287655</wp:posOffset>
            </wp:positionV>
            <wp:extent cx="4243070" cy="2315210"/>
            <wp:effectExtent l="57150" t="19050" r="81280" b="66040"/>
            <wp:wrapSquare wrapText="bothSides"/>
            <wp:docPr id="229"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anchor>
        </w:drawing>
      </w: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both"/>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35" type="#_x0000_t202" style="position:absolute;left:0;text-align:left;margin-left:60pt;margin-top:5.1pt;width:240.05pt;height:18.05pt;z-index:251683840" strokecolor="white">
            <v:textbox style="mso-next-textbox:#_x0000_s1035">
              <w:txbxContent>
                <w:p w:rsidR="00912E32" w:rsidRPr="00DD5313" w:rsidRDefault="00912E32" w:rsidP="00E737FC">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jc w:val="both"/>
        <w:rPr>
          <w:rFonts w:asciiTheme="minorHAnsi" w:hAnsiTheme="minorHAnsi" w:cstheme="minorHAnsi"/>
          <w:sz w:val="24"/>
          <w:szCs w:val="24"/>
        </w:rPr>
      </w:pPr>
      <w:r w:rsidRPr="00772E03">
        <w:rPr>
          <w:rFonts w:asciiTheme="minorHAnsi" w:hAnsiTheme="minorHAnsi" w:cstheme="minorHAnsi"/>
          <w:sz w:val="24"/>
          <w:szCs w:val="24"/>
        </w:rPr>
        <w:t>Este municipio es considerado como uno de los que tiene mayor población, sin embargo, un 24% de la población total, representa los  hogares con jefatura femenina. Esta situación no es similar a municipios como Xalapa, Orizaba y Veracruz, que por ser grandes aquí si tiene altos porcentajes con población en hogares con jefatura femenina.</w:t>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3E3A9E" w:rsidP="00B348BE">
      <w:pPr>
        <w:rPr>
          <w:rFonts w:asciiTheme="minorHAnsi" w:hAnsiTheme="minorHAnsi" w:cstheme="minorHAnsi"/>
          <w:b/>
          <w:bCs/>
          <w:noProof/>
          <w:sz w:val="24"/>
          <w:szCs w:val="24"/>
          <w:lang w:eastAsia="es-MX" w:bidi="hi-IN"/>
        </w:rPr>
      </w:pPr>
      <w:r w:rsidRPr="00772E03">
        <w:rPr>
          <w:rFonts w:asciiTheme="minorHAnsi" w:hAnsiTheme="minorHAnsi" w:cstheme="minorHAnsi"/>
          <w:b/>
          <w:bCs/>
          <w:noProof/>
          <w:sz w:val="24"/>
          <w:szCs w:val="24"/>
          <w:lang w:eastAsia="es-MX"/>
        </w:rPr>
        <w:drawing>
          <wp:anchor distT="0" distB="0" distL="114300" distR="114300" simplePos="0" relativeHeight="251674624" behindDoc="0" locked="0" layoutInCell="1" allowOverlap="1">
            <wp:simplePos x="0" y="0"/>
            <wp:positionH relativeFrom="column">
              <wp:posOffset>723138</wp:posOffset>
            </wp:positionH>
            <wp:positionV relativeFrom="paragraph">
              <wp:posOffset>-328803</wp:posOffset>
            </wp:positionV>
            <wp:extent cx="4157218" cy="2526284"/>
            <wp:effectExtent l="57150" t="19050" r="71882" b="64516"/>
            <wp:wrapSquare wrapText="right"/>
            <wp:docPr id="228"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anchor>
        </w:drawing>
      </w: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29009B" w:rsidP="00B348BE">
      <w:pPr>
        <w:rPr>
          <w:rFonts w:asciiTheme="minorHAnsi" w:hAnsiTheme="minorHAnsi" w:cstheme="minorHAnsi"/>
          <w:b/>
          <w:bCs/>
          <w:noProof/>
          <w:sz w:val="24"/>
          <w:szCs w:val="24"/>
          <w:lang w:eastAsia="es-MX" w:bidi="hi-IN"/>
        </w:rPr>
      </w:pPr>
      <w:r>
        <w:rPr>
          <w:rFonts w:asciiTheme="minorHAnsi" w:hAnsiTheme="minorHAnsi" w:cstheme="minorHAnsi"/>
          <w:b/>
          <w:bCs/>
          <w:noProof/>
          <w:sz w:val="24"/>
          <w:szCs w:val="24"/>
          <w:lang w:eastAsia="es-MX" w:bidi="hi-IN"/>
        </w:rPr>
        <w:pict>
          <v:shape id="_x0000_s1051" type="#_x0000_t202" style="position:absolute;margin-left:-332pt;margin-top:24.35pt;width:240.05pt;height:18.05pt;z-index:251700224" strokecolor="white">
            <v:textbox style="mso-next-textbox:#_x0000_s1051">
              <w:txbxContent>
                <w:p w:rsidR="00912E32" w:rsidRPr="00DD5313" w:rsidRDefault="00912E32" w:rsidP="00B348BE">
                  <w:pPr>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p>
    <w:p w:rsidR="00B348BE" w:rsidRPr="00772E03" w:rsidRDefault="00B348BE" w:rsidP="00B348BE">
      <w:pPr>
        <w:rPr>
          <w:rFonts w:asciiTheme="minorHAnsi" w:hAnsiTheme="minorHAnsi" w:cstheme="minorHAnsi"/>
          <w:b/>
          <w:bCs/>
          <w:noProof/>
          <w:sz w:val="24"/>
          <w:szCs w:val="24"/>
          <w:lang w:eastAsia="es-MX" w:bidi="hi-IN"/>
        </w:rPr>
      </w:pPr>
    </w:p>
    <w:p w:rsidR="00B348BE" w:rsidRPr="00772E03" w:rsidRDefault="005F15D3"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b/>
          <w:bCs/>
          <w:noProof/>
          <w:sz w:val="24"/>
          <w:szCs w:val="24"/>
          <w:lang w:eastAsia="es-MX" w:bidi="hi-IN"/>
        </w:rPr>
        <w:t>Bono demográ</w:t>
      </w:r>
      <w:r w:rsidR="00B348BE" w:rsidRPr="00772E03">
        <w:rPr>
          <w:rFonts w:asciiTheme="minorHAnsi" w:hAnsiTheme="minorHAnsi" w:cstheme="minorHAnsi"/>
          <w:b/>
          <w:bCs/>
          <w:noProof/>
          <w:sz w:val="24"/>
          <w:szCs w:val="24"/>
          <w:lang w:eastAsia="es-MX" w:bidi="hi-IN"/>
        </w:rPr>
        <w:t>fico</w:t>
      </w:r>
      <w:r w:rsidR="00B348BE" w:rsidRPr="00772E03">
        <w:rPr>
          <w:rFonts w:asciiTheme="minorHAnsi" w:hAnsiTheme="minorHAnsi" w:cstheme="minorHAnsi"/>
          <w:sz w:val="24"/>
          <w:szCs w:val="24"/>
        </w:rPr>
        <w:t xml:space="preserve"> </w:t>
      </w:r>
    </w:p>
    <w:p w:rsidR="00B348BE" w:rsidRPr="00772E03" w:rsidRDefault="00B348BE"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A lo largo de la historia la población del municipio de Coatzacoalcos ha tenido una presencia muy marcada de niños y jóvenes, pero esto ha venido cambiando debido a la reducción de la tasa de crecimiento demográfico.</w:t>
      </w:r>
    </w:p>
    <w:p w:rsidR="00B348BE" w:rsidRPr="00772E03" w:rsidRDefault="00B348BE"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el año 2000 la población entra 0 y 14 años representaba el 46.2% de la población total, mientras que para el 2005 se redujo a 39.4%, de acuerdo a las proyecciones realizadas, en el 2020 esta población representará el 27.6 % del total y para el 2030 será solo el 25.4% del total.</w:t>
      </w:r>
    </w:p>
    <w:p w:rsidR="00B348BE" w:rsidRPr="00772E03" w:rsidRDefault="00B348BE"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cambio la otra proporción de la población inactiva, es decir, la población de 60 o más se ha ido incrementando de manera poco significativa durante los últimos años, ya que en el 2000 representó el 8.2% del total y para el año 2005 se incrementó hasta representar el 9.8% del total de la población, en el 2020 incremento un 18.5% y de acuerdo a las proyecciones en el 2030 llegará a representar el 28.30% sobrepasando a la población de 0 a 14 años. </w:t>
      </w:r>
    </w:p>
    <w:p w:rsidR="00B348BE" w:rsidRPr="00772E03" w:rsidRDefault="0029009B" w:rsidP="00B348BE">
      <w:pPr>
        <w:spacing w:line="360" w:lineRule="auto"/>
        <w:jc w:val="center"/>
        <w:rPr>
          <w:rFonts w:asciiTheme="minorHAnsi" w:hAnsiTheme="minorHAnsi" w:cstheme="minorHAnsi"/>
          <w:b/>
          <w:bCs/>
          <w:noProof/>
          <w:sz w:val="24"/>
          <w:szCs w:val="24"/>
          <w:lang w:eastAsia="es-MX" w:bidi="hi-IN"/>
        </w:rPr>
      </w:pPr>
      <w:r>
        <w:rPr>
          <w:rFonts w:asciiTheme="minorHAnsi" w:hAnsiTheme="minorHAnsi" w:cstheme="minorHAnsi"/>
          <w:b/>
          <w:bCs/>
          <w:noProof/>
          <w:sz w:val="24"/>
          <w:szCs w:val="24"/>
          <w:lang w:eastAsia="es-MX" w:bidi="hi-IN"/>
        </w:rPr>
        <w:pict>
          <v:shape id="_x0000_s1148" type="#_x0000_t202" style="position:absolute;left:0;text-align:left;margin-left:43.45pt;margin-top:234.3pt;width:153.2pt;height:16.6pt;z-index:251768832" stroked="f">
            <v:textbox>
              <w:txbxContent>
                <w:p w:rsidR="00912E32" w:rsidRPr="00364478" w:rsidRDefault="00912E32" w:rsidP="00E737FC">
                  <w:pPr>
                    <w:rPr>
                      <w:sz w:val="18"/>
                      <w:szCs w:val="18"/>
                    </w:rPr>
                  </w:pPr>
                  <w:r>
                    <w:rPr>
                      <w:sz w:val="18"/>
                      <w:szCs w:val="18"/>
                    </w:rPr>
                    <w:t>Fuente: CONAPO</w:t>
                  </w:r>
                </w:p>
              </w:txbxContent>
            </v:textbox>
          </v:shape>
        </w:pict>
      </w:r>
      <w:r w:rsidR="003E3A9E" w:rsidRPr="00772E03">
        <w:rPr>
          <w:rFonts w:asciiTheme="minorHAnsi" w:hAnsiTheme="minorHAnsi" w:cstheme="minorHAnsi"/>
          <w:b/>
          <w:bCs/>
          <w:noProof/>
          <w:sz w:val="24"/>
          <w:szCs w:val="24"/>
          <w:lang w:eastAsia="es-MX"/>
        </w:rPr>
        <w:drawing>
          <wp:inline distT="0" distB="0" distL="0" distR="0">
            <wp:extent cx="4746117" cy="3189605"/>
            <wp:effectExtent l="57150" t="19050" r="73533" b="48895"/>
            <wp:docPr id="89"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B348BE" w:rsidRPr="00772E03" w:rsidRDefault="00B348BE" w:rsidP="00B348BE">
      <w:pPr>
        <w:spacing w:line="360" w:lineRule="auto"/>
        <w:rPr>
          <w:rFonts w:asciiTheme="minorHAnsi" w:hAnsiTheme="minorHAnsi" w:cstheme="minorHAnsi"/>
          <w:b/>
          <w:bCs/>
          <w:noProof/>
          <w:sz w:val="24"/>
          <w:szCs w:val="24"/>
          <w:lang w:eastAsia="es-MX" w:bidi="hi-IN"/>
        </w:rPr>
      </w:pPr>
    </w:p>
    <w:p w:rsidR="00B348BE" w:rsidRPr="00772E03" w:rsidRDefault="00B348BE"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tasa de dependencia económica (TDE) se reduce como consecuencia de la reducción de la población inactiva, definiendo “dependencia económica” como el número de personas sin posibilidades de generar un ingreso, por cada persona que si puede tener ingresos.  </w:t>
      </w:r>
    </w:p>
    <w:p w:rsidR="00B348BE" w:rsidRPr="00772E03" w:rsidRDefault="00B348BE" w:rsidP="00B348BE">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el año 2000 la TDE era de 0.54 y en el año 2005 se redujo a 0.49. De acuerdo a las proyecciones esta tasa se seguirá reduciendo hasta 0.44 en el año 2015.</w:t>
      </w:r>
    </w:p>
    <w:p w:rsidR="00B348BE" w:rsidRPr="00772E03" w:rsidRDefault="0029009B" w:rsidP="00B348BE">
      <w:pPr>
        <w:tabs>
          <w:tab w:val="center" w:pos="4252"/>
        </w:tabs>
        <w:spacing w:line="360" w:lineRule="auto"/>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pict>
          <v:rect id="_x0000_s1150" style="position:absolute;left:0;text-align:left;margin-left:160.2pt;margin-top:108.6pt;width:134.3pt;height:56.6pt;z-index:251770880" filled="f" strokecolor="red" strokeweight="1.5pt">
            <v:stroke dashstyle="dashDot"/>
          </v:rect>
        </w:pict>
      </w:r>
      <w:r w:rsidRPr="0029009B">
        <w:rPr>
          <w:rFonts w:asciiTheme="minorHAnsi" w:hAnsiTheme="minorHAnsi" w:cstheme="minorHAnsi"/>
          <w:b/>
          <w:bCs/>
          <w:noProof/>
          <w:sz w:val="24"/>
          <w:szCs w:val="24"/>
          <w:lang w:eastAsia="es-MX" w:bidi="hi-IN"/>
        </w:rPr>
        <w:pict>
          <v:shape id="_x0000_s1149" type="#_x0000_t202" style="position:absolute;left:0;text-align:left;margin-left:51.1pt;margin-top:199.05pt;width:206.8pt;height:18.45pt;z-index:251769856" stroked="f">
            <v:textbox>
              <w:txbxContent>
                <w:p w:rsidR="00912E32" w:rsidRPr="00364478" w:rsidRDefault="00912E32" w:rsidP="00E737FC">
                  <w:pPr>
                    <w:rPr>
                      <w:sz w:val="18"/>
                      <w:szCs w:val="18"/>
                    </w:rPr>
                  </w:pPr>
                  <w:r>
                    <w:rPr>
                      <w:sz w:val="18"/>
                      <w:szCs w:val="18"/>
                    </w:rPr>
                    <w:t>Fuente: CONAPO  E  INEGI</w:t>
                  </w:r>
                </w:p>
              </w:txbxContent>
            </v:textbox>
          </v:shape>
        </w:pict>
      </w:r>
      <w:r w:rsidR="003E3A9E" w:rsidRPr="00772E03">
        <w:rPr>
          <w:rFonts w:asciiTheme="minorHAnsi" w:hAnsiTheme="minorHAnsi" w:cstheme="minorHAnsi"/>
          <w:noProof/>
          <w:sz w:val="24"/>
          <w:szCs w:val="24"/>
          <w:lang w:eastAsia="es-MX"/>
        </w:rPr>
        <w:drawing>
          <wp:inline distT="0" distB="0" distL="0" distR="0">
            <wp:extent cx="4573016" cy="2743073"/>
            <wp:effectExtent l="57150" t="19050" r="75184" b="57277"/>
            <wp:docPr id="88" name="Gráfic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B348BE" w:rsidRPr="00772E03" w:rsidRDefault="00B348BE" w:rsidP="00B348BE">
      <w:pPr>
        <w:spacing w:line="360" w:lineRule="auto"/>
        <w:rPr>
          <w:rFonts w:asciiTheme="minorHAnsi" w:hAnsiTheme="minorHAnsi" w:cstheme="minorHAnsi"/>
          <w:b/>
          <w:bCs/>
          <w:noProof/>
          <w:sz w:val="24"/>
          <w:szCs w:val="24"/>
          <w:lang w:eastAsia="es-MX" w:bidi="hi-IN"/>
        </w:rPr>
      </w:pPr>
    </w:p>
    <w:p w:rsidR="00B348BE" w:rsidRPr="00772E03" w:rsidRDefault="0029009B" w:rsidP="00B348BE">
      <w:pPr>
        <w:spacing w:line="360" w:lineRule="auto"/>
        <w:rPr>
          <w:rFonts w:asciiTheme="minorHAnsi" w:hAnsiTheme="minorHAnsi" w:cstheme="minorHAnsi"/>
          <w:b/>
          <w:bCs/>
          <w:noProof/>
          <w:sz w:val="24"/>
          <w:szCs w:val="24"/>
          <w:lang w:eastAsia="es-MX" w:bidi="hi-IN"/>
        </w:rPr>
      </w:pPr>
      <w:r>
        <w:rPr>
          <w:rFonts w:asciiTheme="minorHAnsi" w:hAnsiTheme="minorHAnsi" w:cstheme="minorHAnsi"/>
          <w:b/>
          <w:bCs/>
          <w:noProof/>
          <w:sz w:val="24"/>
          <w:szCs w:val="24"/>
          <w:lang w:eastAsia="es-MX" w:bidi="hi-IN"/>
        </w:rPr>
        <w:pict>
          <v:shape id="_x0000_s1036" type="#_x0000_t202" style="position:absolute;margin-left:-367.6pt;margin-top:6.35pt;width:240.05pt;height:13.8pt;z-index:251684864" strokecolor="white">
            <v:textbox style="mso-next-textbox:#_x0000_s1036">
              <w:txbxContent>
                <w:p w:rsidR="00912E32" w:rsidRPr="00DD5313" w:rsidRDefault="00912E32" w:rsidP="00B348BE">
                  <w:pPr>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B348BE" w:rsidRPr="00772E03">
        <w:rPr>
          <w:rFonts w:asciiTheme="minorHAnsi" w:hAnsiTheme="minorHAnsi" w:cstheme="minorHAnsi"/>
          <w:b/>
          <w:bCs/>
          <w:noProof/>
          <w:sz w:val="24"/>
          <w:szCs w:val="24"/>
          <w:lang w:eastAsia="es-MX" w:bidi="hi-IN"/>
        </w:rPr>
        <w:t>Servicios públicos y bienes privados en la vivienda</w:t>
      </w:r>
    </w:p>
    <w:p w:rsidR="00B348BE" w:rsidRPr="00772E03" w:rsidRDefault="00B348BE" w:rsidP="00B348BE">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 xml:space="preserve">Es importante destacar con qué tipo de servicios cuenta la población residentes del municipio de Coatzacoalcos. El total de viviendas particulares  habitadas  en el municipio es de 76 mil 895, con un promedio por ocupante de 3.6 personas. De acuerdo a ese total, sólo el 3.3% de las viviendas tiene piso de tierra (2, 497 viviendas) en donde habitan 9 mil 295 personas. Por tanto, el 96.7% de las vivienda  cuenta con piso de material diferente de tierra, el 99.1% de las viviendas tiene drenaje, un 96.3% energia electrica y el 89.5% de las viviendas  cuenta con agua entubada, drenaje y energia electrica. Así, estos porcentajes </w:t>
      </w:r>
      <w:r w:rsidRPr="00772E03">
        <w:rPr>
          <w:rFonts w:asciiTheme="minorHAnsi" w:hAnsiTheme="minorHAnsi" w:cstheme="minorHAnsi"/>
          <w:noProof/>
          <w:sz w:val="24"/>
          <w:szCs w:val="24"/>
          <w:lang w:eastAsia="es-MX" w:bidi="hi-IN"/>
        </w:rPr>
        <w:lastRenderedPageBreak/>
        <w:t>nos ofrecen un panorama general de cómo se encuentra la situación economica y social de la población.</w:t>
      </w:r>
    </w:p>
    <w:p w:rsidR="00B348BE" w:rsidRPr="00772E03" w:rsidRDefault="0029009B" w:rsidP="00B348BE">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037" type="#_x0000_t202" style="position:absolute;left:0;text-align:left;margin-left:79.05pt;margin-top:191.3pt;width:173.3pt;height:13.8pt;z-index:251685888" strokecolor="white">
            <v:textbox style="mso-next-textbox:#_x0000_s1037">
              <w:txbxContent>
                <w:p w:rsidR="00912E32" w:rsidRPr="00DD5313" w:rsidRDefault="00912E32" w:rsidP="00544CB2">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3794204" cy="2601461"/>
            <wp:effectExtent l="57150" t="19050" r="72946" b="65539"/>
            <wp:docPr id="87" name="Gráfic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Otro aspecto importante son los bienes privados con los que cuenta una vivienda. En este sentido se observa que el 97.6% de las viviendas en el municipio de Coatzacoalcos tiene algún bien que mejora el bienestar de la familia. El 92.8% de las viviendas cuenta con televisión, el 85.6% con refrigerador, el 71% con lavadora y un 18.7% de las viviendas tiene computadora. </w:t>
      </w: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38" type="#_x0000_t202" style="position:absolute;left:0;text-align:left;margin-left:63.7pt;margin-top:216.45pt;width:240.05pt;height:13.8pt;z-index:251686912" strokecolor="white">
            <v:textbox style="mso-next-textbox:#_x0000_s1038">
              <w:txbxContent>
                <w:p w:rsidR="00912E32" w:rsidRPr="00DD5313" w:rsidRDefault="00912E32" w:rsidP="00B348BE">
                  <w:pPr>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168861" cy="2923914"/>
            <wp:effectExtent l="57150" t="19050" r="79289" b="47886"/>
            <wp:docPr id="86" name="Gráfico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Indicadores de Marginación</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marginación  es un fenómeno estructural que se expresa en la exclusión  de grupos sociales del proceso de desarrollo y del disfrute de sus beneficios debido a una dificultad para proteger el progreso técnico al interior de la estructura productiva y en las regiones. La marginación implica la existencia de una precaria estructura de oportunidades sociales para las personas que los expone a privaciones, riesgos y vulnerabilidades sociales cuya reversión es imposible por parte de las personas que la sufren, razón  por la cual requiere mayor atención por parte de los agentes públicos, privados y sociales. La población marginada no sólo es pobre; también carece de los elementos mínimos para salir delante de esa situación de exclusión en que se encuentra.</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Para medir la intensidad e implicaciones demográficas y territoriales se ha construido un indicador que se conoce como Índice de Marginación, que permite diferenciar unidades territoriales según la intensidad de las privaciones que padece su población, y es sumamente útil para planear el desarrollo y determinar la prioridad en las políticas públicas.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Los aspectos para medir las carencias que padece la población en cuatro dimensiones </w:t>
      </w:r>
      <w:proofErr w:type="spellStart"/>
      <w:r w:rsidRPr="00772E03">
        <w:rPr>
          <w:rFonts w:asciiTheme="minorHAnsi" w:hAnsiTheme="minorHAnsi" w:cstheme="minorHAnsi"/>
          <w:sz w:val="24"/>
          <w:szCs w:val="24"/>
        </w:rPr>
        <w:t>sociodemográficas</w:t>
      </w:r>
      <w:proofErr w:type="spellEnd"/>
      <w:r w:rsidRPr="00772E03">
        <w:rPr>
          <w:rFonts w:asciiTheme="minorHAnsi" w:hAnsiTheme="minorHAnsi" w:cstheme="minorHAnsi"/>
          <w:sz w:val="24"/>
          <w:szCs w:val="24"/>
        </w:rPr>
        <w:t>:</w:t>
      </w:r>
    </w:p>
    <w:p w:rsidR="00B348BE" w:rsidRPr="00772E03" w:rsidRDefault="00B348BE" w:rsidP="00B348BE">
      <w:pPr>
        <w:numPr>
          <w:ilvl w:val="0"/>
          <w:numId w:val="1"/>
        </w:num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educación </w:t>
      </w:r>
    </w:p>
    <w:p w:rsidR="00B348BE" w:rsidRPr="00772E03" w:rsidRDefault="00B348BE" w:rsidP="00B348BE">
      <w:pPr>
        <w:numPr>
          <w:ilvl w:val="0"/>
          <w:numId w:val="1"/>
        </w:num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residencia en viviendas inadecuadas</w:t>
      </w:r>
    </w:p>
    <w:p w:rsidR="00B348BE" w:rsidRPr="00772E03" w:rsidRDefault="00B348BE" w:rsidP="00B348BE">
      <w:pPr>
        <w:numPr>
          <w:ilvl w:val="0"/>
          <w:numId w:val="1"/>
        </w:num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percepción de ingresos monetarios insuficientes</w:t>
      </w:r>
    </w:p>
    <w:p w:rsidR="00B348BE" w:rsidRPr="00772E03" w:rsidRDefault="00B348BE" w:rsidP="00B348BE">
      <w:pPr>
        <w:numPr>
          <w:ilvl w:val="0"/>
          <w:numId w:val="1"/>
        </w:num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residencia en localidades rurales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Las dimensiones anteriores consideran nueve formas de exclusión: analfabetismo, población sin primaria completa, viviendas particulares sin agua entubada, viviendas sin drenaje ni servicio sanitario exclusivo, viviendas con piso de tierra, viviendas sin energía </w:t>
      </w:r>
      <w:r w:rsidRPr="00772E03">
        <w:rPr>
          <w:rFonts w:asciiTheme="minorHAnsi" w:hAnsiTheme="minorHAnsi" w:cstheme="minorHAnsi"/>
          <w:sz w:val="24"/>
          <w:szCs w:val="24"/>
        </w:rPr>
        <w:lastRenderedPageBreak/>
        <w:t xml:space="preserve">eléctrica, nivel de hacinamiento de las viviendas, población ocupada que recibe hasta dos salarios mínimos y localidades con menos de cinco mil habitantes. </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presenta un Índice de Marginación de -1.43390; éste es bajo, por lo que ocupando el 7° lugar a nivel estatal entre los de mejor situación y es un índice bastante menor que el existente a nivel estatal, que es de 1.0767 para el mismo año 2005.</w:t>
      </w:r>
    </w:p>
    <w:p w:rsidR="00B348BE" w:rsidRPr="00772E03" w:rsidRDefault="0029009B" w:rsidP="00B348BE">
      <w:pPr>
        <w:tabs>
          <w:tab w:val="left" w:pos="7810"/>
        </w:tabs>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52" type="#_x0000_t202" style="position:absolute;margin-left:265.25pt;margin-top:293pt;width:145.9pt;height:30.3pt;z-index:251702272" strokecolor="white">
            <v:textbox style="mso-next-textbox:#_x0000_s1052">
              <w:txbxContent>
                <w:p w:rsidR="00912E32" w:rsidRPr="00DB52AE" w:rsidRDefault="00912E32" w:rsidP="00B348BE">
                  <w:pPr>
                    <w:jc w:val="both"/>
                    <w:rPr>
                      <w:rFonts w:ascii="Arial" w:hAnsi="Arial" w:cs="Arial"/>
                      <w:sz w:val="10"/>
                      <w:szCs w:val="10"/>
                    </w:rPr>
                  </w:pPr>
                  <w:r w:rsidRPr="00DB52AE">
                    <w:rPr>
                      <w:rFonts w:ascii="Arial" w:hAnsi="Arial" w:cs="Arial"/>
                      <w:sz w:val="10"/>
                      <w:szCs w:val="10"/>
                    </w:rPr>
                    <w:t>Fuente: Estimaciones de la CONAPO con base en el II Conteo de Población y Vivienda 2005 y Encuesta Nacional de Ocupación y Empleo 2005 (IV Trimestre).</w:t>
                  </w:r>
                </w:p>
              </w:txbxContent>
            </v:textbox>
          </v:shape>
        </w:pict>
      </w:r>
      <w:r w:rsidR="003E3A9E" w:rsidRPr="00772E03">
        <w:rPr>
          <w:rFonts w:asciiTheme="minorHAnsi" w:hAnsiTheme="minorHAnsi" w:cstheme="minorHAnsi"/>
          <w:noProof/>
          <w:sz w:val="24"/>
          <w:szCs w:val="24"/>
          <w:lang w:eastAsia="es-MX"/>
        </w:rPr>
        <w:drawing>
          <wp:anchor distT="0" distB="0" distL="114300" distR="114300" simplePos="0" relativeHeight="251701248" behindDoc="0" locked="0" layoutInCell="1" allowOverlap="1">
            <wp:simplePos x="0" y="0"/>
            <wp:positionH relativeFrom="column">
              <wp:posOffset>237109</wp:posOffset>
            </wp:positionH>
            <wp:positionV relativeFrom="paragraph">
              <wp:posOffset>148717</wp:posOffset>
            </wp:positionV>
            <wp:extent cx="5042027" cy="4000627"/>
            <wp:effectExtent l="57150" t="19050" r="82423" b="57023"/>
            <wp:wrapSquare wrapText="bothSides"/>
            <wp:docPr id="227"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anchor>
        </w:drawing>
      </w:r>
      <w:r w:rsidR="00B348BE" w:rsidRPr="00772E03">
        <w:rPr>
          <w:rFonts w:asciiTheme="minorHAnsi" w:hAnsiTheme="minorHAnsi" w:cstheme="minorHAnsi"/>
          <w:sz w:val="24"/>
          <w:szCs w:val="24"/>
        </w:rPr>
        <w:tab/>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Coatzacoalcos en la dimensión de Educación presenta una tasa de analfabetismo</w:t>
      </w:r>
      <w:r w:rsidR="00154D02" w:rsidRPr="00772E03">
        <w:rPr>
          <w:rStyle w:val="Refdenotaalpie"/>
          <w:rFonts w:asciiTheme="minorHAnsi" w:hAnsiTheme="minorHAnsi" w:cstheme="minorHAnsi"/>
        </w:rPr>
        <w:footnoteReference w:id="2"/>
      </w:r>
      <w:r w:rsidRPr="00772E03">
        <w:rPr>
          <w:rFonts w:asciiTheme="minorHAnsi" w:hAnsiTheme="minorHAnsi" w:cstheme="minorHAnsi"/>
          <w:sz w:val="24"/>
          <w:szCs w:val="24"/>
        </w:rPr>
        <w:t xml:space="preserve"> de 5.7%, es menor a la tasa que se tiene a nivel estatal (que es del 13.4%), esto nos da un panorama de cómo Coatzacoalcos se ha preocupado por ir combatiendo el analfabetismo, es decir, que cada vez más hombres y mujeres saben leer y escribir en este municipio.</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analfabetismo para el año 2000 fue de 6.45%, es decir, que para el año 2005 se redujo en un 5.69%, esto significa que se tuvo un avance importante reduciéndose este indicador.</w:t>
      </w:r>
    </w:p>
    <w:p w:rsidR="00B348BE" w:rsidRPr="00772E03" w:rsidRDefault="00B348BE" w:rsidP="00B348BE">
      <w:pPr>
        <w:jc w:val="both"/>
        <w:rPr>
          <w:rFonts w:asciiTheme="minorHAnsi" w:hAnsiTheme="minorHAnsi" w:cstheme="minorHAnsi"/>
          <w:sz w:val="24"/>
          <w:szCs w:val="24"/>
        </w:rPr>
      </w:pPr>
    </w:p>
    <w:tbl>
      <w:tblPr>
        <w:tblW w:w="8222" w:type="dxa"/>
        <w:jc w:val="center"/>
        <w:tblInd w:w="637" w:type="dxa"/>
        <w:tblCellMar>
          <w:left w:w="70" w:type="dxa"/>
          <w:right w:w="70" w:type="dxa"/>
        </w:tblCellMar>
        <w:tblLook w:val="04A0"/>
      </w:tblPr>
      <w:tblGrid>
        <w:gridCol w:w="4962"/>
        <w:gridCol w:w="1134"/>
        <w:gridCol w:w="992"/>
        <w:gridCol w:w="1134"/>
      </w:tblGrid>
      <w:tr w:rsidR="00B348BE" w:rsidRPr="00772E03" w:rsidTr="005B3898">
        <w:trPr>
          <w:trHeight w:val="256"/>
          <w:jc w:val="center"/>
        </w:trPr>
        <w:tc>
          <w:tcPr>
            <w:tcW w:w="8222" w:type="dxa"/>
            <w:gridSpan w:val="4"/>
            <w:tcBorders>
              <w:top w:val="single" w:sz="4" w:space="0" w:color="auto"/>
              <w:left w:val="single" w:sz="4" w:space="0" w:color="auto"/>
              <w:bottom w:val="single" w:sz="4" w:space="0" w:color="auto"/>
              <w:right w:val="single" w:sz="4" w:space="0" w:color="auto"/>
            </w:tcBorders>
            <w:shd w:val="clear" w:color="auto" w:fill="9BBB59" w:themeFill="accent3"/>
            <w:noWrap/>
            <w:vAlign w:val="bottom"/>
            <w:hideMark/>
          </w:tcPr>
          <w:p w:rsidR="00B348BE" w:rsidRPr="00772E03" w:rsidRDefault="00B348BE" w:rsidP="00B348BE">
            <w:pPr>
              <w:spacing w:after="0"/>
              <w:jc w:val="center"/>
              <w:rPr>
                <w:rFonts w:asciiTheme="minorHAnsi" w:eastAsia="Times New Roman" w:hAnsiTheme="minorHAnsi" w:cstheme="minorHAnsi"/>
                <w:b/>
                <w:bCs/>
                <w:color w:val="FFFFFF" w:themeColor="background1"/>
                <w:sz w:val="20"/>
                <w:szCs w:val="20"/>
                <w:lang w:eastAsia="es-MX" w:bidi="hi-IN"/>
              </w:rPr>
            </w:pPr>
            <w:r w:rsidRPr="00772E03">
              <w:rPr>
                <w:rFonts w:asciiTheme="minorHAnsi" w:hAnsiTheme="minorHAnsi" w:cstheme="minorHAnsi"/>
                <w:sz w:val="20"/>
                <w:szCs w:val="20"/>
              </w:rPr>
              <w:t xml:space="preserve"> </w:t>
            </w:r>
            <w:r w:rsidRPr="00772E03">
              <w:rPr>
                <w:rFonts w:asciiTheme="minorHAnsi" w:eastAsia="Times New Roman" w:hAnsiTheme="minorHAnsi" w:cstheme="minorHAnsi"/>
                <w:b/>
                <w:bCs/>
                <w:color w:val="FFFFFF" w:themeColor="background1"/>
                <w:sz w:val="20"/>
                <w:szCs w:val="20"/>
                <w:lang w:eastAsia="es-MX" w:bidi="hi-IN"/>
              </w:rPr>
              <w:t>COATZACOALCOS. INDICADORES DE MARGINACIÓN. 2000-2005</w:t>
            </w:r>
          </w:p>
        </w:tc>
      </w:tr>
      <w:tr w:rsidR="00B348BE" w:rsidRPr="00772E03" w:rsidTr="005B3898">
        <w:trPr>
          <w:trHeight w:val="480"/>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Variables de marginación</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2000</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2005</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Puntos Porcentuales</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Población analfabeta de 15 años o más</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6.45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5.69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-11.82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Población sin</w:t>
            </w:r>
            <w:r w:rsidR="007F143C" w:rsidRPr="00772E03">
              <w:rPr>
                <w:rFonts w:asciiTheme="minorHAnsi" w:eastAsia="Times New Roman" w:hAnsiTheme="minorHAnsi" w:cstheme="minorHAnsi"/>
                <w:sz w:val="20"/>
                <w:szCs w:val="20"/>
                <w:lang w:eastAsia="es-MX" w:bidi="hi-IN"/>
              </w:rPr>
              <w:t xml:space="preserve"> primaria completa de 15 años o </w:t>
            </w:r>
            <w:r w:rsidRPr="00772E03">
              <w:rPr>
                <w:rFonts w:asciiTheme="minorHAnsi" w:eastAsia="Times New Roman" w:hAnsiTheme="minorHAnsi" w:cstheme="minorHAnsi"/>
                <w:sz w:val="20"/>
                <w:szCs w:val="20"/>
                <w:lang w:eastAsia="es-MX" w:bidi="hi-IN"/>
              </w:rPr>
              <w:t>más</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22.57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18.18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-19.45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Ocupantes en viviendas sin drenaje ni servicio sanitario</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1.70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0.54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-68.05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Ocupantes en viviendas sin energía eléctrica</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2.28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0.72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-68.57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Ocupantes en viviendas sin agua entubada</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9.42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5.40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-42.68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Viviendas con algún nivel de hacinamiento</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44.04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38.02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-13.69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Ocupantes en viviendas con piso de tierra</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5.50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3.50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-36.32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Población en localidades con menos de 5 000 habitantes</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4.19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3.89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-7.33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Población ocupada con ingreso de hasta 2 salarios mínimos</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55.34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46.73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-15.56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Índice de marginación</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- 1.40987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- 1.43390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1.70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Grado de marginación</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Muy bajo</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Muy bajo</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Lugar que ocupa en el contexto estatal</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203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206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3.0</w:t>
            </w:r>
          </w:p>
        </w:tc>
      </w:tr>
      <w:tr w:rsidR="00B348BE" w:rsidRPr="00772E03" w:rsidTr="005B3898">
        <w:trPr>
          <w:trHeight w:val="256"/>
          <w:jc w:val="center"/>
        </w:trPr>
        <w:tc>
          <w:tcPr>
            <w:tcW w:w="496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Lugar que ocupa en el contexto nacional</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2261       </w:t>
            </w:r>
          </w:p>
        </w:tc>
        <w:tc>
          <w:tcPr>
            <w:tcW w:w="99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 xml:space="preserve">2292       </w:t>
            </w:r>
          </w:p>
        </w:tc>
        <w:tc>
          <w:tcPr>
            <w:tcW w:w="1134"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jc w:val="center"/>
              <w:rPr>
                <w:rFonts w:asciiTheme="minorHAnsi" w:eastAsia="Times New Roman" w:hAnsiTheme="minorHAnsi" w:cstheme="minorHAnsi"/>
                <w:sz w:val="18"/>
                <w:szCs w:val="18"/>
                <w:lang w:eastAsia="es-MX" w:bidi="hi-IN"/>
              </w:rPr>
            </w:pPr>
            <w:r w:rsidRPr="00772E03">
              <w:rPr>
                <w:rFonts w:asciiTheme="minorHAnsi" w:eastAsia="Times New Roman" w:hAnsiTheme="minorHAnsi" w:cstheme="minorHAnsi"/>
                <w:sz w:val="18"/>
                <w:szCs w:val="18"/>
                <w:lang w:eastAsia="es-MX" w:bidi="hi-IN"/>
              </w:rPr>
              <w:t>31.0</w:t>
            </w:r>
          </w:p>
        </w:tc>
      </w:tr>
      <w:tr w:rsidR="00B348BE" w:rsidRPr="00772E03" w:rsidTr="005B3898">
        <w:trPr>
          <w:trHeight w:val="331"/>
          <w:jc w:val="center"/>
        </w:trPr>
        <w:tc>
          <w:tcPr>
            <w:tcW w:w="8222" w:type="dxa"/>
            <w:gridSpan w:val="4"/>
            <w:tcBorders>
              <w:top w:val="single" w:sz="4" w:space="0" w:color="auto"/>
              <w:left w:val="single" w:sz="4" w:space="0" w:color="auto"/>
              <w:bottom w:val="single" w:sz="4" w:space="0" w:color="auto"/>
              <w:right w:val="single" w:sz="4" w:space="0" w:color="auto"/>
            </w:tcBorders>
            <w:shd w:val="clear" w:color="auto" w:fill="C2D69B" w:themeFill="accent3" w:themeFillTint="99"/>
            <w:noWrap/>
            <w:vAlign w:val="center"/>
            <w:hideMark/>
          </w:tcPr>
          <w:p w:rsidR="00B348BE" w:rsidRPr="00772E03" w:rsidRDefault="00B348BE" w:rsidP="00B348BE">
            <w:pPr>
              <w:spacing w:after="0"/>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Fuente: Índice de Marginación, </w:t>
            </w:r>
            <w:proofErr w:type="spellStart"/>
            <w:r w:rsidRPr="00772E03">
              <w:rPr>
                <w:rFonts w:asciiTheme="minorHAnsi" w:eastAsia="Times New Roman" w:hAnsiTheme="minorHAnsi" w:cstheme="minorHAnsi"/>
                <w:sz w:val="16"/>
                <w:szCs w:val="16"/>
                <w:lang w:eastAsia="es-MX" w:bidi="hi-IN"/>
              </w:rPr>
              <w:t>Conapo</w:t>
            </w:r>
            <w:proofErr w:type="spellEnd"/>
            <w:r w:rsidRPr="00772E03">
              <w:rPr>
                <w:rFonts w:asciiTheme="minorHAnsi" w:eastAsia="Times New Roman" w:hAnsiTheme="minorHAnsi" w:cstheme="minorHAnsi"/>
                <w:sz w:val="16"/>
                <w:szCs w:val="16"/>
                <w:lang w:eastAsia="es-MX" w:bidi="hi-IN"/>
              </w:rPr>
              <w:t>.</w:t>
            </w:r>
          </w:p>
        </w:tc>
      </w:tr>
    </w:tbl>
    <w:p w:rsidR="00B348BE" w:rsidRPr="00772E03" w:rsidRDefault="00B348BE" w:rsidP="00B348BE">
      <w:pPr>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Dentro de esta dimensión, Coatzacoalcos muestra un 18.18% del total de su población  de 15 años o más sin primaria completa, porcentaje que se ubica por debajo del indicador estatal que es de 32.9%, por lo tanto este segmento de la población representa una de las tasas más bajas, con respecto al nivel alcanzado para el año 2000 que fue  de 22.57%. Es decir, hubo una reducción de 4 puntos porcentuales.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Coatzacoalcos la dimensión de la población con viviendas sin drenaje ni servicio sanitario es de 0.54%, muy por debajo del 4.2% estatal. El 0.72% se encuentra sin energía eléctrica; a nivel estatal es de 4.7%. Además, el 5.40% son ocupantes de viviendas sin agua entubada, a nivel estatal es de 23.3%, y el 3.50% de la población vive con piso de tierra, en cambio, para el estado es de 22.8%.</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 xml:space="preserve">El presente análisis refleja que esté municipio tiene un grado de marginación muy bajo ya que, de los 212 municipios que tiene la entidad veracruzana; Coatzacoalcos se encuentra a nivel estatal en el lugar 206, con una tasa de crecimiento del 3%. </w:t>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Índice de Marginación por localidades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está compuesto por 25 localidades de las cuales se tiene una clasificación de acuerdo al grado de Marginación que presentan, así mismo, se han registrado que solamente 1 localidad  (con 5 personas) presenta un índice muy alto de marginación, 14 localidades (con 3 mil 249 personas) registran un alto nivel de marginación. Por  tanto, el municipio tendrá que destinar mayores recursos para estabilizar la situación en estas localidades, ya que son las que están presentando mayores problemas.</w:t>
      </w: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48" type="#_x0000_t202" style="position:absolute;left:0;text-align:left;margin-left:46.85pt;margin-top:200.8pt;width:240.05pt;height:13.8pt;z-index:251697152" strokecolor="white">
            <v:textbox style="mso-next-textbox:#_x0000_s1048">
              <w:txbxContent>
                <w:p w:rsidR="00912E32" w:rsidRPr="00DD5313" w:rsidRDefault="00912E32" w:rsidP="00086E9E">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571619" cy="2743454"/>
            <wp:effectExtent l="19050" t="0" r="19431" b="0"/>
            <wp:docPr id="85"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población con un  grado muy bajo de marginación está compuesta por el 86%, equivalente a solamente cuatro localidades; mientras el 10% de la población presenta marginación, es decir, que solo 3 localidades presentan un grado bajo de marginación.  </w:t>
      </w: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47" type="#_x0000_t202" style="position:absolute;left:0;text-align:left;margin-left:49.1pt;margin-top:202.05pt;width:240.05pt;height:13.8pt;z-index:251696128" strokecolor="white">
            <v:textbox style="mso-next-textbox:#_x0000_s1047">
              <w:txbxContent>
                <w:p w:rsidR="00912E32" w:rsidRPr="00DD5313" w:rsidRDefault="00912E32" w:rsidP="00B348BE">
                  <w:pPr>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573016" cy="2743073"/>
            <wp:effectExtent l="12192" t="12192" r="73152" b="60960"/>
            <wp:docPr id="84"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B348BE" w:rsidRPr="00772E03" w:rsidRDefault="00B348BE" w:rsidP="00B348BE">
      <w:pPr>
        <w:jc w:val="both"/>
        <w:rPr>
          <w:rFonts w:asciiTheme="minorHAnsi" w:hAnsiTheme="minorHAnsi" w:cstheme="minorHAnsi"/>
          <w:sz w:val="24"/>
          <w:szCs w:val="24"/>
        </w:rPr>
      </w:pPr>
    </w:p>
    <w:p w:rsidR="003914A7" w:rsidRPr="00772E03" w:rsidRDefault="003914A7" w:rsidP="00B348BE">
      <w:pPr>
        <w:spacing w:line="360" w:lineRule="auto"/>
        <w:jc w:val="both"/>
        <w:rPr>
          <w:rFonts w:asciiTheme="minorHAnsi" w:hAnsiTheme="minorHAnsi" w:cstheme="minorHAnsi"/>
          <w:b/>
          <w:bCs/>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Índice de rezago social y brecha de pobreza</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 acuerdo al Consejo Nacional de Evaluación de la Política de Desarrollo Social (CONEVAL), se presentan algunos indicadores de pobreza, los cuales guardan una relación muy estrecha con los indicadores de marginación proporcionados por el Consejo Nacional de Población.</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el año 2005 el 5.68% de la población de más de 15 años es analfabeta en el municipio de Coatzacoalcos, en tanto que la población de 15 años y más con educación básica incompleta es de 38.91%.</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cuanto a los servicios en la vivienda, el 6.58% de las viviendas particulares no disponen de agua entubada de la red pública, mientras .87% no disponen de drenaje y el 3.62% de las viviendas no disponen de energía eléctrica.</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La disposición de bienes privados es uno más de los ámbitos presentados, en el cual observamos que el 29.02% de las viviendas particulares no disponen de lavadora y el 14.40% no tienen refrigerador.</w:t>
      </w:r>
    </w:p>
    <w:tbl>
      <w:tblPr>
        <w:tblW w:w="7846" w:type="dxa"/>
        <w:jc w:val="center"/>
        <w:tblInd w:w="-345" w:type="dxa"/>
        <w:tblCellMar>
          <w:left w:w="70" w:type="dxa"/>
          <w:right w:w="70" w:type="dxa"/>
        </w:tblCellMar>
        <w:tblLook w:val="04A0"/>
      </w:tblPr>
      <w:tblGrid>
        <w:gridCol w:w="6804"/>
        <w:gridCol w:w="1042"/>
      </w:tblGrid>
      <w:tr w:rsidR="00B348BE" w:rsidRPr="00772E03" w:rsidTr="00F20E70">
        <w:trPr>
          <w:trHeight w:val="218"/>
          <w:jc w:val="center"/>
        </w:trPr>
        <w:tc>
          <w:tcPr>
            <w:tcW w:w="7846" w:type="dxa"/>
            <w:gridSpan w:val="2"/>
            <w:tcBorders>
              <w:top w:val="single" w:sz="4" w:space="0" w:color="auto"/>
              <w:left w:val="single" w:sz="4" w:space="0" w:color="auto"/>
              <w:bottom w:val="single" w:sz="4" w:space="0" w:color="auto"/>
              <w:right w:val="single" w:sz="4" w:space="0" w:color="auto"/>
            </w:tcBorders>
            <w:shd w:val="clear" w:color="auto" w:fill="9BBB59" w:themeFill="accent3"/>
            <w:noWrap/>
            <w:vAlign w:val="bottom"/>
            <w:hideMark/>
          </w:tcPr>
          <w:p w:rsidR="00B348BE" w:rsidRPr="00772E03" w:rsidRDefault="00B348BE" w:rsidP="00B348BE">
            <w:pPr>
              <w:spacing w:after="0" w:line="240" w:lineRule="auto"/>
              <w:jc w:val="center"/>
              <w:rPr>
                <w:rFonts w:asciiTheme="minorHAnsi" w:eastAsia="Times New Roman" w:hAnsiTheme="minorHAnsi" w:cstheme="minorHAnsi"/>
                <w:b/>
                <w:bCs/>
                <w:color w:val="FFFFFF"/>
                <w:sz w:val="20"/>
                <w:szCs w:val="20"/>
                <w:lang w:eastAsia="es-MX" w:bidi="hi-IN"/>
              </w:rPr>
            </w:pPr>
            <w:r w:rsidRPr="00772E03">
              <w:rPr>
                <w:rFonts w:asciiTheme="minorHAnsi" w:eastAsia="Times New Roman" w:hAnsiTheme="minorHAnsi" w:cstheme="minorHAnsi"/>
                <w:b/>
                <w:bCs/>
                <w:color w:val="FFFFFF"/>
                <w:sz w:val="20"/>
                <w:szCs w:val="20"/>
                <w:lang w:eastAsia="es-MX" w:bidi="hi-IN"/>
              </w:rPr>
              <w:t>COATZACOALCOS. INDICADORES DE POBREZA CONEVAL. 2005</w:t>
            </w:r>
          </w:p>
        </w:tc>
      </w:tr>
      <w:tr w:rsidR="00B348BE" w:rsidRPr="00772E03" w:rsidTr="00F20E70">
        <w:trPr>
          <w:trHeight w:val="270"/>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población de 15 años o más analfabeta.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5.68</w:t>
            </w:r>
          </w:p>
        </w:tc>
      </w:tr>
      <w:tr w:rsidR="00B348BE" w:rsidRPr="00772E03" w:rsidTr="00F20E70">
        <w:trPr>
          <w:trHeight w:val="257"/>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población de 6 a 14 años que no asiste a la escuela.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3.48</w:t>
            </w:r>
          </w:p>
        </w:tc>
      </w:tr>
      <w:tr w:rsidR="00B348BE" w:rsidRPr="00772E03" w:rsidTr="00F20E70">
        <w:trPr>
          <w:trHeight w:val="245"/>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población de 15 años y más con educación básica incompleta.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38.91</w:t>
            </w:r>
          </w:p>
        </w:tc>
      </w:tr>
      <w:tr w:rsidR="00B348BE" w:rsidRPr="00772E03" w:rsidTr="00F20E70">
        <w:trPr>
          <w:trHeight w:val="411"/>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hogares con población de 15 a 29 años, con algún habitante con menos de 9 años de educación aprobados.</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27.66</w:t>
            </w:r>
          </w:p>
        </w:tc>
      </w:tr>
      <w:tr w:rsidR="00B348BE" w:rsidRPr="00772E03" w:rsidTr="00F20E70">
        <w:trPr>
          <w:trHeight w:val="282"/>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población sin derecho-</w:t>
            </w:r>
            <w:proofErr w:type="spellStart"/>
            <w:r w:rsidRPr="00772E03">
              <w:rPr>
                <w:rFonts w:asciiTheme="minorHAnsi" w:eastAsia="Times New Roman" w:hAnsiTheme="minorHAnsi" w:cstheme="minorHAnsi"/>
                <w:sz w:val="20"/>
                <w:szCs w:val="20"/>
                <w:lang w:eastAsia="es-MX" w:bidi="hi-IN"/>
              </w:rPr>
              <w:t>habiencia</w:t>
            </w:r>
            <w:proofErr w:type="spellEnd"/>
            <w:r w:rsidRPr="00772E03">
              <w:rPr>
                <w:rFonts w:asciiTheme="minorHAnsi" w:eastAsia="Times New Roman" w:hAnsiTheme="minorHAnsi" w:cstheme="minorHAnsi"/>
                <w:sz w:val="20"/>
                <w:szCs w:val="20"/>
                <w:lang w:eastAsia="es-MX" w:bidi="hi-IN"/>
              </w:rPr>
              <w:t xml:space="preserve"> a servicios de salud.</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35.72</w:t>
            </w:r>
          </w:p>
        </w:tc>
      </w:tr>
      <w:tr w:rsidR="00B348BE" w:rsidRPr="00772E03" w:rsidTr="00F20E70">
        <w:trPr>
          <w:trHeight w:val="282"/>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con piso de tierra.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3.25</w:t>
            </w:r>
          </w:p>
        </w:tc>
      </w:tr>
      <w:tr w:rsidR="00B348BE" w:rsidRPr="00772E03" w:rsidTr="00F20E70">
        <w:trPr>
          <w:trHeight w:val="270"/>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excusado o sanitario.</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3.93</w:t>
            </w:r>
          </w:p>
        </w:tc>
      </w:tr>
      <w:tr w:rsidR="00B348BE" w:rsidRPr="00772E03" w:rsidTr="00F20E70">
        <w:trPr>
          <w:trHeight w:val="295"/>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agua entubada de la red pública.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6.58</w:t>
            </w:r>
          </w:p>
        </w:tc>
      </w:tr>
      <w:tr w:rsidR="00B348BE" w:rsidRPr="00772E03" w:rsidTr="00F20E70">
        <w:trPr>
          <w:trHeight w:val="295"/>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drenaje.</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0.87</w:t>
            </w:r>
          </w:p>
        </w:tc>
      </w:tr>
      <w:tr w:rsidR="00B348BE" w:rsidRPr="00772E03" w:rsidTr="00F20E70">
        <w:trPr>
          <w:trHeight w:val="321"/>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energía eléctrica.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3.62</w:t>
            </w:r>
          </w:p>
        </w:tc>
      </w:tr>
      <w:tr w:rsidR="00B348BE" w:rsidRPr="00772E03" w:rsidTr="00F20E70">
        <w:trPr>
          <w:trHeight w:val="245"/>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lavadora.</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29.02</w:t>
            </w:r>
          </w:p>
        </w:tc>
      </w:tr>
      <w:tr w:rsidR="00B348BE" w:rsidRPr="00772E03" w:rsidTr="00F20E70">
        <w:trPr>
          <w:trHeight w:val="295"/>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 de viviendas particulares habitadas que no disponen de refrigerador.</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14.40</w:t>
            </w:r>
          </w:p>
        </w:tc>
      </w:tr>
      <w:tr w:rsidR="00B348BE" w:rsidRPr="00772E03" w:rsidTr="00F20E70">
        <w:trPr>
          <w:trHeight w:val="218"/>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Índice de rezago social</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-1.34142</w:t>
            </w:r>
          </w:p>
        </w:tc>
      </w:tr>
      <w:tr w:rsidR="00B348BE" w:rsidRPr="00772E03" w:rsidTr="00F20E70">
        <w:trPr>
          <w:trHeight w:val="218"/>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Grado de rezago social</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B348BE">
            <w:pPr>
              <w:spacing w:after="0" w:line="240" w:lineRule="auto"/>
              <w:jc w:val="center"/>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Muy bajo</w:t>
            </w:r>
          </w:p>
        </w:tc>
      </w:tr>
      <w:tr w:rsidR="00B348BE" w:rsidRPr="00772E03" w:rsidTr="00F20E70">
        <w:trPr>
          <w:trHeight w:val="218"/>
          <w:jc w:val="center"/>
        </w:trPr>
        <w:tc>
          <w:tcPr>
            <w:tcW w:w="6804"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Lugar que ocupa en el contexto nacional</w:t>
            </w:r>
          </w:p>
        </w:tc>
        <w:tc>
          <w:tcPr>
            <w:tcW w:w="1042" w:type="dxa"/>
            <w:tcBorders>
              <w:top w:val="nil"/>
              <w:left w:val="nil"/>
              <w:bottom w:val="single" w:sz="4" w:space="0" w:color="auto"/>
              <w:right w:val="single" w:sz="4" w:space="0" w:color="auto"/>
            </w:tcBorders>
            <w:shd w:val="clear" w:color="auto" w:fill="C2D69B" w:themeFill="accent3" w:themeFillTint="99"/>
            <w:noWrap/>
            <w:vAlign w:val="bottom"/>
            <w:hideMark/>
          </w:tcPr>
          <w:p w:rsidR="00B348BE" w:rsidRPr="00772E03" w:rsidRDefault="00B348BE" w:rsidP="007F143C">
            <w:pPr>
              <w:spacing w:after="0" w:line="240" w:lineRule="auto"/>
              <w:ind w:firstLineChars="200" w:firstLine="400"/>
              <w:rPr>
                <w:rFonts w:asciiTheme="minorHAnsi" w:eastAsia="Times New Roman" w:hAnsiTheme="minorHAnsi" w:cstheme="minorHAnsi"/>
                <w:sz w:val="20"/>
                <w:szCs w:val="20"/>
                <w:lang w:eastAsia="es-MX" w:bidi="hi-IN"/>
              </w:rPr>
            </w:pPr>
            <w:r w:rsidRPr="00772E03">
              <w:rPr>
                <w:rFonts w:asciiTheme="minorHAnsi" w:eastAsia="Times New Roman" w:hAnsiTheme="minorHAnsi" w:cstheme="minorHAnsi"/>
                <w:sz w:val="20"/>
                <w:szCs w:val="20"/>
                <w:lang w:eastAsia="es-MX" w:bidi="hi-IN"/>
              </w:rPr>
              <w:t>2286</w:t>
            </w:r>
          </w:p>
        </w:tc>
      </w:tr>
      <w:tr w:rsidR="00B348BE" w:rsidRPr="00772E03" w:rsidTr="00F20E70">
        <w:trPr>
          <w:trHeight w:val="218"/>
          <w:jc w:val="center"/>
        </w:trPr>
        <w:tc>
          <w:tcPr>
            <w:tcW w:w="7846"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rsidR="00B348BE" w:rsidRPr="00772E03" w:rsidRDefault="00B348BE" w:rsidP="00B348BE">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Fuente. CONEVAL</w:t>
            </w:r>
          </w:p>
        </w:tc>
      </w:tr>
    </w:tbl>
    <w:p w:rsidR="00B348BE" w:rsidRPr="00772E03" w:rsidRDefault="00B348BE" w:rsidP="00B348BE">
      <w:pPr>
        <w:spacing w:line="360" w:lineRule="auto"/>
        <w:rPr>
          <w:rFonts w:asciiTheme="minorHAnsi" w:hAnsiTheme="minorHAnsi" w:cstheme="minorHAnsi"/>
          <w:sz w:val="24"/>
          <w:szCs w:val="24"/>
        </w:rPr>
      </w:pPr>
    </w:p>
    <w:p w:rsidR="003A76C1" w:rsidRPr="00772E03" w:rsidRDefault="003A76C1" w:rsidP="003A76C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Ahora bien, haciendo un comparativo entre los valores porcentuales de las variables de marginación del año 2000 y 2005, se definen los rezagos con base en cuatro dimensiones socio-demográficas; educación, residencia en viviendas inadecuadas, percepción de ingresos monetarios insuficientes y residencia en localidades pequeñas. Cabe mencionar que la sumatoria de estas cuatro dimensiones socio-demográficas no da como resultado el 100%, debido a que puede existir población que se encuentra en dos o más dimensiones.</w:t>
      </w:r>
    </w:p>
    <w:p w:rsidR="003A76C1" w:rsidRPr="00772E03" w:rsidRDefault="003A76C1" w:rsidP="003A76C1">
      <w:pPr>
        <w:spacing w:line="360" w:lineRule="auto"/>
        <w:jc w:val="both"/>
        <w:rPr>
          <w:rFonts w:asciiTheme="minorHAnsi" w:hAnsiTheme="minorHAnsi" w:cstheme="minorHAnsi"/>
        </w:rPr>
      </w:pPr>
    </w:p>
    <w:p w:rsidR="003A76C1" w:rsidRPr="00772E03" w:rsidRDefault="003A76C1" w:rsidP="003A76C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Podemos notar que en los rezagos en educación, que incluye la proporción de la población analfabeta y la proporción de la población sin primaria completa de 15 años o más, en el 2000 representaba el 29% de la población, en tanto que en el 2005 se redujo a 23.9%.</w:t>
      </w:r>
    </w:p>
    <w:p w:rsidR="003A76C1" w:rsidRPr="00772E03" w:rsidRDefault="003A76C1" w:rsidP="003A76C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La dimensión de residencia en viviendas inadecuadas, que comprende; el porcentaje de ocupantes en viviendas sin servicios básicos como: drenaje, sanitario, energía eléctrica, agua entubada, así como piso de tierra y el porcentaje de las viviendas con algún nivel de hacinamiento, en esta dimensión en el 2000 representaba el 62.9% de la población, mientras que en el 2005 representó en 48.1%.</w:t>
      </w:r>
    </w:p>
    <w:p w:rsidR="003A76C1" w:rsidRPr="00772E03" w:rsidRDefault="003A76C1" w:rsidP="003A76C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la dimensión de la percepción de ingresos monetarios insuficientes, es decir, la proporción de la población que no recibe más de dos salarios mínimos, representó en el año 2000 el 55.3% de la población y en el 2005 disminuyó a 46.7%.</w:t>
      </w:r>
    </w:p>
    <w:p w:rsidR="003A76C1" w:rsidRPr="00772E03" w:rsidRDefault="003A76C1" w:rsidP="003A76C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cambio en la dimensión de residencia en localidades pequeñas fue de 4.2% en el año 2000 y  3.9% en el 2005.</w:t>
      </w:r>
    </w:p>
    <w:p w:rsidR="003A76C1" w:rsidRPr="00772E03" w:rsidRDefault="003A76C1" w:rsidP="00B348BE">
      <w:pPr>
        <w:spacing w:line="360" w:lineRule="auto"/>
        <w:rPr>
          <w:rFonts w:asciiTheme="minorHAnsi" w:hAnsiTheme="minorHAnsi" w:cstheme="minorHAnsi"/>
          <w:sz w:val="24"/>
          <w:szCs w:val="24"/>
        </w:rPr>
      </w:pPr>
    </w:p>
    <w:p w:rsidR="003A76C1" w:rsidRPr="00772E03" w:rsidRDefault="003A76C1" w:rsidP="003A76C1">
      <w:pPr>
        <w:spacing w:line="360" w:lineRule="auto"/>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drawing>
          <wp:inline distT="0" distB="0" distL="0" distR="0">
            <wp:extent cx="4572000" cy="2743200"/>
            <wp:effectExtent l="57150" t="19050" r="76200" b="57150"/>
            <wp:docPr id="16"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6C1C51" w:rsidRPr="00772E03" w:rsidRDefault="006C1C51" w:rsidP="006C1C5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Determinando el análisis de la marginación el municipio de Coatzacoalcos en términos absolutos, se observa que en la población analfabeta de 15 años o más disminuyó en el pe</w:t>
      </w:r>
      <w:r w:rsidR="002F3124" w:rsidRPr="00772E03">
        <w:rPr>
          <w:rFonts w:asciiTheme="minorHAnsi" w:hAnsiTheme="minorHAnsi" w:cstheme="minorHAnsi"/>
          <w:sz w:val="24"/>
          <w:szCs w:val="24"/>
        </w:rPr>
        <w:t>riodo 2000-2005, de 17 mil 235</w:t>
      </w:r>
      <w:r w:rsidRPr="00772E03">
        <w:rPr>
          <w:rFonts w:asciiTheme="minorHAnsi" w:hAnsiTheme="minorHAnsi" w:cstheme="minorHAnsi"/>
          <w:sz w:val="24"/>
          <w:szCs w:val="24"/>
        </w:rPr>
        <w:t xml:space="preserve"> personas a 1</w:t>
      </w:r>
      <w:r w:rsidR="002F3124" w:rsidRPr="00772E03">
        <w:rPr>
          <w:rFonts w:asciiTheme="minorHAnsi" w:hAnsiTheme="minorHAnsi" w:cstheme="minorHAnsi"/>
          <w:sz w:val="24"/>
          <w:szCs w:val="24"/>
        </w:rPr>
        <w:t>5 mil 952</w:t>
      </w:r>
      <w:r w:rsidRPr="00772E03">
        <w:rPr>
          <w:rFonts w:asciiTheme="minorHAnsi" w:hAnsiTheme="minorHAnsi" w:cstheme="minorHAnsi"/>
          <w:sz w:val="24"/>
          <w:szCs w:val="24"/>
        </w:rPr>
        <w:t xml:space="preserve"> personas, una diferencia de </w:t>
      </w:r>
      <w:r w:rsidR="002F3124" w:rsidRPr="00772E03">
        <w:rPr>
          <w:rFonts w:asciiTheme="minorHAnsi" w:hAnsiTheme="minorHAnsi" w:cstheme="minorHAnsi"/>
          <w:sz w:val="24"/>
          <w:szCs w:val="24"/>
        </w:rPr>
        <w:t>un mil 283</w:t>
      </w:r>
      <w:r w:rsidRPr="00772E03">
        <w:rPr>
          <w:rFonts w:asciiTheme="minorHAnsi" w:hAnsiTheme="minorHAnsi" w:cstheme="minorHAnsi"/>
          <w:sz w:val="24"/>
          <w:szCs w:val="24"/>
        </w:rPr>
        <w:t>personas.</w:t>
      </w:r>
    </w:p>
    <w:p w:rsidR="006C1C51" w:rsidRPr="00772E03" w:rsidRDefault="002F3124" w:rsidP="006C1C51">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 xml:space="preserve">La población con viviendas con algún nivel de </w:t>
      </w:r>
      <w:r w:rsidR="00BD44C4" w:rsidRPr="00772E03">
        <w:rPr>
          <w:rFonts w:asciiTheme="minorHAnsi" w:hAnsiTheme="minorHAnsi" w:cstheme="minorHAnsi"/>
          <w:sz w:val="24"/>
          <w:szCs w:val="24"/>
        </w:rPr>
        <w:t>hacinamiento</w:t>
      </w:r>
      <w:r w:rsidR="006C1C51" w:rsidRPr="00772E03">
        <w:rPr>
          <w:rFonts w:asciiTheme="minorHAnsi" w:hAnsiTheme="minorHAnsi" w:cstheme="minorHAnsi"/>
          <w:sz w:val="24"/>
          <w:szCs w:val="24"/>
        </w:rPr>
        <w:t>, en térmi</w:t>
      </w:r>
      <w:r w:rsidRPr="00772E03">
        <w:rPr>
          <w:rFonts w:asciiTheme="minorHAnsi" w:hAnsiTheme="minorHAnsi" w:cstheme="minorHAnsi"/>
          <w:sz w:val="24"/>
          <w:szCs w:val="24"/>
        </w:rPr>
        <w:t>nos porcentuales se redujo de 4</w:t>
      </w:r>
      <w:r w:rsidR="006C1C51" w:rsidRPr="00772E03">
        <w:rPr>
          <w:rFonts w:asciiTheme="minorHAnsi" w:hAnsiTheme="minorHAnsi" w:cstheme="minorHAnsi"/>
          <w:sz w:val="24"/>
          <w:szCs w:val="24"/>
        </w:rPr>
        <w:t>4</w:t>
      </w:r>
      <w:r w:rsidRPr="00772E03">
        <w:rPr>
          <w:rFonts w:asciiTheme="minorHAnsi" w:hAnsiTheme="minorHAnsi" w:cstheme="minorHAnsi"/>
          <w:sz w:val="24"/>
          <w:szCs w:val="24"/>
        </w:rPr>
        <w:t xml:space="preserve">.04% a 38.02%, representando </w:t>
      </w:r>
      <w:r w:rsidR="006C1C51" w:rsidRPr="00772E03">
        <w:rPr>
          <w:rFonts w:asciiTheme="minorHAnsi" w:hAnsiTheme="minorHAnsi" w:cstheme="minorHAnsi"/>
          <w:sz w:val="24"/>
          <w:szCs w:val="24"/>
        </w:rPr>
        <w:t xml:space="preserve">en </w:t>
      </w:r>
      <w:r w:rsidR="00BD44C4" w:rsidRPr="00772E03">
        <w:rPr>
          <w:rFonts w:asciiTheme="minorHAnsi" w:hAnsiTheme="minorHAnsi" w:cstheme="minorHAnsi"/>
          <w:sz w:val="24"/>
          <w:szCs w:val="24"/>
        </w:rPr>
        <w:t>términos reales en el 2000 117 mil 6</w:t>
      </w:r>
      <w:r w:rsidR="006C1C51" w:rsidRPr="00772E03">
        <w:rPr>
          <w:rFonts w:asciiTheme="minorHAnsi" w:hAnsiTheme="minorHAnsi" w:cstheme="minorHAnsi"/>
          <w:sz w:val="24"/>
          <w:szCs w:val="24"/>
        </w:rPr>
        <w:t>80 per</w:t>
      </w:r>
      <w:r w:rsidR="00BD44C4" w:rsidRPr="00772E03">
        <w:rPr>
          <w:rFonts w:asciiTheme="minorHAnsi" w:hAnsiTheme="minorHAnsi" w:cstheme="minorHAnsi"/>
          <w:sz w:val="24"/>
          <w:szCs w:val="24"/>
        </w:rPr>
        <w:t>sonas y 106 mil 594</w:t>
      </w:r>
      <w:r w:rsidR="006C1C51" w:rsidRPr="00772E03">
        <w:rPr>
          <w:rFonts w:asciiTheme="minorHAnsi" w:hAnsiTheme="minorHAnsi" w:cstheme="minorHAnsi"/>
          <w:sz w:val="24"/>
          <w:szCs w:val="24"/>
        </w:rPr>
        <w:t xml:space="preserve"> personas </w:t>
      </w:r>
      <w:r w:rsidR="00BD44C4" w:rsidRPr="00772E03">
        <w:rPr>
          <w:rFonts w:asciiTheme="minorHAnsi" w:hAnsiTheme="minorHAnsi" w:cstheme="minorHAnsi"/>
          <w:sz w:val="24"/>
          <w:szCs w:val="24"/>
        </w:rPr>
        <w:t xml:space="preserve">para el 2005. Otra variable </w:t>
      </w:r>
      <w:r w:rsidR="006C1C51" w:rsidRPr="00772E03">
        <w:rPr>
          <w:rFonts w:asciiTheme="minorHAnsi" w:hAnsiTheme="minorHAnsi" w:cstheme="minorHAnsi"/>
          <w:sz w:val="24"/>
          <w:szCs w:val="24"/>
        </w:rPr>
        <w:t xml:space="preserve">es el de </w:t>
      </w:r>
      <w:r w:rsidR="00BD44C4" w:rsidRPr="00772E03">
        <w:rPr>
          <w:rFonts w:asciiTheme="minorHAnsi" w:hAnsiTheme="minorHAnsi" w:cstheme="minorHAnsi"/>
          <w:sz w:val="24"/>
          <w:szCs w:val="24"/>
        </w:rPr>
        <w:t>la población ocupada con ingreso de hasta 2 salarios mínimos</w:t>
      </w:r>
      <w:r w:rsidR="006C1C51" w:rsidRPr="00772E03">
        <w:rPr>
          <w:rFonts w:asciiTheme="minorHAnsi" w:hAnsiTheme="minorHAnsi" w:cstheme="minorHAnsi"/>
          <w:sz w:val="24"/>
          <w:szCs w:val="24"/>
        </w:rPr>
        <w:t xml:space="preserve">, que en </w:t>
      </w:r>
      <w:r w:rsidR="00BD44C4" w:rsidRPr="00772E03">
        <w:rPr>
          <w:rFonts w:asciiTheme="minorHAnsi" w:hAnsiTheme="minorHAnsi" w:cstheme="minorHAnsi"/>
          <w:sz w:val="24"/>
          <w:szCs w:val="24"/>
        </w:rPr>
        <w:t>2005 fue de  46.73%; sin embargo, en términos absolutos disminuyo</w:t>
      </w:r>
      <w:r w:rsidR="006C1C51" w:rsidRPr="00772E03">
        <w:rPr>
          <w:rFonts w:asciiTheme="minorHAnsi" w:hAnsiTheme="minorHAnsi" w:cstheme="minorHAnsi"/>
          <w:sz w:val="24"/>
          <w:szCs w:val="24"/>
        </w:rPr>
        <w:t xml:space="preserve"> 1</w:t>
      </w:r>
      <w:r w:rsidR="00BD44C4" w:rsidRPr="00772E03">
        <w:rPr>
          <w:rFonts w:asciiTheme="minorHAnsi" w:hAnsiTheme="minorHAnsi" w:cstheme="minorHAnsi"/>
          <w:sz w:val="24"/>
          <w:szCs w:val="24"/>
        </w:rPr>
        <w:t>6</w:t>
      </w:r>
      <w:r w:rsidR="00C77F63" w:rsidRPr="00772E03">
        <w:rPr>
          <w:rFonts w:asciiTheme="minorHAnsi" w:hAnsiTheme="minorHAnsi" w:cstheme="minorHAnsi"/>
          <w:sz w:val="24"/>
          <w:szCs w:val="24"/>
        </w:rPr>
        <w:t xml:space="preserve"> mil 862</w:t>
      </w:r>
      <w:r w:rsidR="006C1C51" w:rsidRPr="00772E03">
        <w:rPr>
          <w:rFonts w:asciiTheme="minorHAnsi" w:hAnsiTheme="minorHAnsi" w:cstheme="minorHAnsi"/>
          <w:sz w:val="24"/>
          <w:szCs w:val="24"/>
        </w:rPr>
        <w:t xml:space="preserve"> personas.</w:t>
      </w:r>
    </w:p>
    <w:p w:rsidR="006C1C51" w:rsidRPr="00772E03" w:rsidRDefault="002F3124" w:rsidP="006C1C51">
      <w:pPr>
        <w:spacing w:line="360" w:lineRule="auto"/>
        <w:jc w:val="center"/>
        <w:rPr>
          <w:rFonts w:asciiTheme="minorHAnsi" w:hAnsiTheme="minorHAnsi" w:cstheme="minorHAnsi"/>
          <w:sz w:val="24"/>
          <w:szCs w:val="24"/>
        </w:rPr>
      </w:pPr>
      <w:r w:rsidRPr="00772E03">
        <w:rPr>
          <w:rFonts w:asciiTheme="minorHAnsi" w:hAnsiTheme="minorHAnsi" w:cstheme="minorHAnsi"/>
          <w:noProof/>
          <w:szCs w:val="24"/>
          <w:lang w:eastAsia="es-MX"/>
        </w:rPr>
        <w:drawing>
          <wp:inline distT="0" distB="0" distL="0" distR="0">
            <wp:extent cx="5314278" cy="2689411"/>
            <wp:effectExtent l="19050" t="0" r="672"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5319728" cy="2692169"/>
                    </a:xfrm>
                    <a:prstGeom prst="rect">
                      <a:avLst/>
                    </a:prstGeom>
                    <a:noFill/>
                    <a:ln w="9525">
                      <a:noFill/>
                      <a:miter lim="800000"/>
                      <a:headEnd/>
                      <a:tailEnd/>
                    </a:ln>
                  </pic:spPr>
                </pic:pic>
              </a:graphicData>
            </a:graphic>
          </wp:inline>
        </w:drawing>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presenta tres indicadores de pobreza de ingreso, los cuales se encuentran por debajo de los niveles promedio estatal, el primero es el indicador de pobreza  patrimonial que en el municipio es de 44.8, mientras que en el estado es de 59.3.</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segundo indicador es el de pobreza de capacidades con valor de 17.4 a nivel municipal y de 36.3 a nivel estatal, y el tercer indicador es el de pobreza alimentaria que en el municipio de Coatzacoalcos es de 9.9 cifra que se encuentra muy por debajo de los observados a nivel estatal (28).</w:t>
      </w:r>
    </w:p>
    <w:p w:rsidR="00B348BE" w:rsidRPr="00772E03" w:rsidRDefault="003E3A9E" w:rsidP="00B348BE">
      <w:pPr>
        <w:jc w:val="center"/>
        <w:rPr>
          <w:rFonts w:asciiTheme="minorHAnsi" w:hAnsiTheme="minorHAnsi" w:cstheme="minorHAnsi"/>
          <w:b/>
          <w:bCs/>
          <w:sz w:val="24"/>
          <w:szCs w:val="24"/>
        </w:rPr>
      </w:pPr>
      <w:r w:rsidRPr="00772E03">
        <w:rPr>
          <w:rFonts w:asciiTheme="minorHAnsi" w:hAnsiTheme="minorHAnsi" w:cstheme="minorHAnsi"/>
          <w:b/>
          <w:bCs/>
          <w:noProof/>
          <w:sz w:val="24"/>
          <w:szCs w:val="24"/>
          <w:lang w:eastAsia="es-MX"/>
        </w:rPr>
        <w:lastRenderedPageBreak/>
        <w:drawing>
          <wp:inline distT="0" distB="0" distL="0" distR="0">
            <wp:extent cx="4333100" cy="2509712"/>
            <wp:effectExtent l="57150" t="19050" r="67450" b="62038"/>
            <wp:docPr id="83"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717F0E" w:rsidRPr="00772E03" w:rsidRDefault="00717F0E" w:rsidP="00B348BE">
      <w:pPr>
        <w:spacing w:line="360" w:lineRule="auto"/>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 xml:space="preserve">Educación y género </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escolaridad es un indicador que permite conocer el grado de educación que tienen los habitantes del municipio de Coatzacoalcos. Este municipio se encuentra en el 7° lugar a nivel estatal; con un grado promedio de escolaridad de 8.95%, este porcentaje es uno de los más altos. Sin embargo el 9.45% está representado por la población masculina, mientras que un 8.5% la población femenina.</w:t>
      </w:r>
    </w:p>
    <w:p w:rsidR="00B348BE" w:rsidRPr="00772E03" w:rsidRDefault="003E3A9E" w:rsidP="00B348BE">
      <w:pPr>
        <w:rPr>
          <w:rFonts w:asciiTheme="minorHAnsi" w:hAnsiTheme="minorHAnsi" w:cstheme="minorHAnsi"/>
          <w:b/>
          <w:bCs/>
          <w:sz w:val="24"/>
          <w:szCs w:val="24"/>
        </w:rPr>
      </w:pPr>
      <w:r w:rsidRPr="00772E03">
        <w:rPr>
          <w:rFonts w:asciiTheme="minorHAnsi" w:hAnsiTheme="minorHAnsi" w:cstheme="minorHAnsi"/>
          <w:noProof/>
          <w:sz w:val="24"/>
          <w:szCs w:val="24"/>
          <w:lang w:eastAsia="es-MX"/>
        </w:rPr>
        <w:drawing>
          <wp:anchor distT="0" distB="0" distL="114300" distR="114300" simplePos="0" relativeHeight="251675648" behindDoc="0" locked="0" layoutInCell="1" allowOverlap="1">
            <wp:simplePos x="0" y="0"/>
            <wp:positionH relativeFrom="column">
              <wp:posOffset>521335</wp:posOffset>
            </wp:positionH>
            <wp:positionV relativeFrom="paragraph">
              <wp:posOffset>76835</wp:posOffset>
            </wp:positionV>
            <wp:extent cx="4296410" cy="3020060"/>
            <wp:effectExtent l="57150" t="19050" r="85090" b="66040"/>
            <wp:wrapSquare wrapText="right"/>
            <wp:docPr id="226" name="Gráfic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anchor>
        </w:drawing>
      </w: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both"/>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39" type="#_x0000_t202" style="position:absolute;left:0;text-align:left;margin-left:-341.6pt;margin-top:18.1pt;width:240.05pt;height:17.15pt;z-index:251687936" strokecolor="white">
            <v:textbox style="mso-next-textbox:#_x0000_s1039">
              <w:txbxContent>
                <w:p w:rsidR="00912E32" w:rsidRPr="00717F0E" w:rsidRDefault="00912E32" w:rsidP="00B348BE">
                  <w:pPr>
                    <w:rPr>
                      <w:rFonts w:ascii="Arial" w:hAnsi="Arial" w:cs="Arial"/>
                      <w:sz w:val="10"/>
                      <w:szCs w:val="10"/>
                    </w:rPr>
                  </w:pPr>
                  <w:r w:rsidRPr="00717F0E">
                    <w:rPr>
                      <w:rFonts w:ascii="Arial" w:hAnsi="Arial" w:cs="Arial"/>
                      <w:sz w:val="10"/>
                      <w:szCs w:val="10"/>
                    </w:rPr>
                    <w:t>Fuente: II Conteo de Población y Vivienda 2005. Inegi.</w:t>
                  </w:r>
                </w:p>
              </w:txbxContent>
            </v:textbox>
          </v:shape>
        </w:pic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Es importante analizar el indicador de educación en el municipio de Coatzacoalcos por sexo, ya que refleja un panorama más amplio de cómo se encuentran las condiciones del hombre y la mujer en este rubro. En la población de 5 años que no asiste a la escuela, el 43.4% son hombres y el 56.6% son mujeres. En la población de 6 a 14 años que no asisten a la escuela, el 51.4% son hombre y 48.6% son mujeres. En la población de 15 a 24 años que asisten a la escuela, el 50.5% son hombres y 49.5% son mujeres. Sin embargo, la población de 15 años y más sin escolaridad es mayor, ya que el 68.7% son mujeres y el 31.3% son hombres; esta situación nos refleja que la población femenina presenta un nivel mucho mayor que el de los hombres en este segmento. Asimismo, el 44.1% de la población de 15 años y más  con educación básica incompleta son hombres y el 55.9% mujeres.</w:t>
      </w:r>
    </w:p>
    <w:p w:rsidR="00B348BE" w:rsidRPr="00772E03" w:rsidRDefault="0029009B" w:rsidP="00B348BE">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pict>
          <v:shape id="_x0000_s1040" type="#_x0000_t202" style="position:absolute;left:0;text-align:left;margin-left:36.75pt;margin-top:190.75pt;width:240.05pt;height:13.8pt;z-index:251688960" strokecolor="white">
            <v:textbox style="mso-next-textbox:#_x0000_s1040">
              <w:txbxContent>
                <w:p w:rsidR="00912E32" w:rsidRPr="00717F0E" w:rsidRDefault="00912E32" w:rsidP="00B348BE">
                  <w:pPr>
                    <w:rPr>
                      <w:rFonts w:ascii="Arial" w:hAnsi="Arial" w:cs="Arial"/>
                      <w:sz w:val="10"/>
                      <w:szCs w:val="10"/>
                    </w:rPr>
                  </w:pPr>
                  <w:r w:rsidRPr="00717F0E">
                    <w:rPr>
                      <w:rFonts w:ascii="Arial" w:hAnsi="Arial" w:cs="Arial"/>
                      <w:sz w:val="10"/>
                      <w:szCs w:val="10"/>
                    </w:rPr>
                    <w:t>Fuente: II Conteo de Población y Vivienda 2005. Inegi.</w:t>
                  </w:r>
                </w:p>
              </w:txbxContent>
            </v:textbox>
          </v:shape>
        </w:pict>
      </w:r>
      <w:r w:rsidR="003E3A9E" w:rsidRPr="00772E03">
        <w:rPr>
          <w:rFonts w:asciiTheme="minorHAnsi" w:hAnsiTheme="minorHAnsi" w:cstheme="minorHAnsi"/>
          <w:noProof/>
          <w:sz w:val="24"/>
          <w:szCs w:val="24"/>
          <w:lang w:eastAsia="es-MX"/>
        </w:rPr>
        <w:drawing>
          <wp:inline distT="0" distB="0" distL="0" distR="0">
            <wp:extent cx="4943300" cy="2592218"/>
            <wp:effectExtent l="57150" t="19050" r="66850" b="55732"/>
            <wp:docPr id="82"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B348BE" w:rsidRPr="00772E03" w:rsidRDefault="00B348BE" w:rsidP="00B348BE">
      <w:pPr>
        <w:rPr>
          <w:rFonts w:asciiTheme="minorHAnsi" w:hAnsiTheme="minorHAnsi" w:cstheme="minorHAnsi"/>
          <w:b/>
          <w:bCs/>
          <w:sz w:val="24"/>
          <w:szCs w:val="24"/>
        </w:rPr>
      </w:pPr>
    </w:p>
    <w:p w:rsidR="00B348BE" w:rsidRPr="00772E03" w:rsidRDefault="00B348BE" w:rsidP="00B348BE">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El desarrollo humano</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índice de desarrollo humano sirve para medir el comportamiento de la población en términos de bienestar, así como las oportunidades de progreso. También es considerado para medir la capacidad de una vida larga y saludable, la capacidad para adquirir los </w:t>
      </w:r>
      <w:r w:rsidRPr="00772E03">
        <w:rPr>
          <w:rFonts w:asciiTheme="minorHAnsi" w:hAnsiTheme="minorHAnsi" w:cstheme="minorHAnsi"/>
          <w:sz w:val="24"/>
          <w:szCs w:val="24"/>
        </w:rPr>
        <w:lastRenderedPageBreak/>
        <w:t>conocimientos y contar con el acceso a los recursos que permitan disfrutar de un nivel de vida digno y decoroso, a través del índice de educación, salud e ingreso.</w:t>
      </w: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41" type="#_x0000_t202" style="position:absolute;left:0;text-align:left;margin-left:47.8pt;margin-top:195.7pt;width:143.45pt;height:13.8pt;z-index:251689984" strokecolor="white">
            <v:textbox style="mso-next-textbox:#_x0000_s1041">
              <w:txbxContent>
                <w:p w:rsidR="00912E32" w:rsidRPr="00DD5313" w:rsidRDefault="00912E32" w:rsidP="00B348BE">
                  <w:pPr>
                    <w:rPr>
                      <w:rFonts w:ascii="Arial" w:hAnsi="Arial" w:cs="Arial"/>
                    </w:rPr>
                  </w:pPr>
                  <w:r>
                    <w:rPr>
                      <w:rFonts w:ascii="Arial" w:hAnsi="Arial" w:cs="Arial"/>
                      <w:sz w:val="12"/>
                      <w:szCs w:val="12"/>
                    </w:rPr>
                    <w:t>Fuente: PNUD.</w:t>
                  </w:r>
                </w:p>
              </w:txbxContent>
            </v:textbox>
          </v:shape>
        </w:pict>
      </w:r>
      <w:r w:rsidR="003E3A9E" w:rsidRPr="00772E03">
        <w:rPr>
          <w:rFonts w:asciiTheme="minorHAnsi" w:hAnsiTheme="minorHAnsi" w:cstheme="minorHAnsi"/>
          <w:noProof/>
          <w:sz w:val="24"/>
          <w:szCs w:val="24"/>
          <w:lang w:eastAsia="es-MX"/>
        </w:rPr>
        <w:drawing>
          <wp:inline distT="0" distB="0" distL="0" distR="0">
            <wp:extent cx="4567106" cy="2670362"/>
            <wp:effectExtent l="57150" t="19050" r="81094" b="53788"/>
            <wp:docPr id="8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17F0E" w:rsidRPr="00772E03" w:rsidRDefault="00717F0E" w:rsidP="00B348BE">
      <w:pPr>
        <w:spacing w:line="360" w:lineRule="auto"/>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Como se puede observar, el índice de salud es de .871 siendo  mayor que el índice de educación e ingreso. En segundo lugar se encuentra el índice de educación con .850 y  el índice de ingreso que es de .754, de los tres es el más bajo. Por lo tanto, Coatzacoalcos tiene un índice de desarrollo humano de .825. </w:t>
      </w:r>
    </w:p>
    <w:p w:rsidR="00B348BE" w:rsidRPr="00772E03" w:rsidRDefault="00B348BE" w:rsidP="00B348BE">
      <w:pPr>
        <w:spacing w:line="360" w:lineRule="auto"/>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Infraestructura educativa</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materia educativa Coatzacoalcos cuenta con 442 escuelas, de las cueles el 35.52% son primarias (equivalentes a 157 planteles educativos), con un 30.09% se ubica el nivel preescolar (con 133 planteles y con una plantilla de 442 maestros), y en tercer lugar el nivel secundaria con un 10.40%, es decir, cuenta con 46 escuelas y 781 maestros. Es importante destacar el nivel medio superior que comprende el bachillerato, representando un 8.59%, con 38 escuelas y 770 docentes. </w:t>
      </w:r>
    </w:p>
    <w:p w:rsidR="00B348BE" w:rsidRPr="00772E03" w:rsidRDefault="0029009B" w:rsidP="002644BC">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19" type="#_x0000_t202" style="position:absolute;left:0;text-align:left;margin-left:198.45pt;margin-top:194.75pt;width:215.35pt;height:18.05pt;z-index:251742208" stroked="f">
            <v:textbox style="mso-next-textbox:#_x0000_s1119">
              <w:txbxContent>
                <w:p w:rsidR="00912E32" w:rsidRPr="004B2666" w:rsidRDefault="00912E32" w:rsidP="00717F0E">
                  <w:pPr>
                    <w:jc w:val="right"/>
                    <w:rPr>
                      <w:sz w:val="18"/>
                      <w:szCs w:val="18"/>
                    </w:rPr>
                  </w:pPr>
                  <w:r w:rsidRPr="004B2666">
                    <w:rPr>
                      <w:sz w:val="18"/>
                      <w:szCs w:val="18"/>
                    </w:rPr>
                    <w:t>Fuente: Secretaria de Educación de Veracruz. SEV</w:t>
                  </w:r>
                </w:p>
              </w:txbxContent>
            </v:textbox>
          </v:shape>
        </w:pict>
      </w:r>
      <w:r w:rsidR="003E3A9E" w:rsidRPr="00772E03">
        <w:rPr>
          <w:rFonts w:asciiTheme="minorHAnsi" w:hAnsiTheme="minorHAnsi" w:cstheme="minorHAnsi"/>
          <w:noProof/>
          <w:sz w:val="24"/>
          <w:szCs w:val="24"/>
          <w:lang w:eastAsia="es-MX"/>
        </w:rPr>
        <w:drawing>
          <wp:inline distT="0" distB="0" distL="0" distR="0">
            <wp:extent cx="5159413" cy="2691878"/>
            <wp:effectExtent l="57150" t="19050" r="79337" b="51322"/>
            <wp:docPr id="80"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total de estudiantes en el municipio es de 91 mil 773, de los cuales el 50.44% son hombres y el 49.55% mujeres, esto significa que los hombres del municipio de Coatzacoalcos asisten más a la escuela que las mujeres. Del total de alumnos, el 84.6% se encuentra en los niveles básico, medio y medio superior.</w:t>
      </w:r>
    </w:p>
    <w:p w:rsidR="00B348BE" w:rsidRPr="00772E03" w:rsidRDefault="00B348BE" w:rsidP="00B348BE">
      <w:pPr>
        <w:spacing w:line="360" w:lineRule="auto"/>
        <w:jc w:val="both"/>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120" type="#_x0000_t202" style="position:absolute;left:0;text-align:left;margin-left:193.1pt;margin-top:187.2pt;width:215.35pt;height:24.25pt;z-index:251743232" stroked="f">
            <v:textbox style="mso-next-textbox:#_x0000_s1120">
              <w:txbxContent>
                <w:p w:rsidR="00912E32" w:rsidRPr="004B2666" w:rsidRDefault="00912E32" w:rsidP="00717F0E">
                  <w:pPr>
                    <w:jc w:val="right"/>
                    <w:rPr>
                      <w:sz w:val="18"/>
                      <w:szCs w:val="18"/>
                    </w:rPr>
                  </w:pPr>
                  <w:r w:rsidRPr="004B2666">
                    <w:rPr>
                      <w:sz w:val="18"/>
                      <w:szCs w:val="18"/>
                    </w:rPr>
                    <w:t>Fuente: Secretaria de Educación de Veracruz. SEV</w:t>
                  </w:r>
                </w:p>
              </w:txbxContent>
            </v:textbox>
          </v:shape>
        </w:pict>
      </w:r>
      <w:r w:rsidR="003E3A9E" w:rsidRPr="00772E03">
        <w:rPr>
          <w:rFonts w:asciiTheme="minorHAnsi" w:hAnsiTheme="minorHAnsi" w:cstheme="minorHAnsi"/>
          <w:noProof/>
          <w:sz w:val="24"/>
          <w:szCs w:val="24"/>
          <w:lang w:eastAsia="es-MX"/>
        </w:rPr>
        <w:drawing>
          <wp:inline distT="0" distB="0" distL="0" distR="0">
            <wp:extent cx="5088155" cy="2677552"/>
            <wp:effectExtent l="57150" t="19050" r="74395" b="65648"/>
            <wp:docPr id="78"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B348BE" w:rsidRPr="00772E03" w:rsidRDefault="00B348BE" w:rsidP="00B348BE">
      <w:pPr>
        <w:jc w:val="both"/>
        <w:rPr>
          <w:rFonts w:asciiTheme="minorHAnsi" w:hAnsiTheme="minorHAnsi" w:cstheme="minorHAnsi"/>
          <w:noProof/>
          <w:sz w:val="24"/>
          <w:szCs w:val="24"/>
          <w:lang w:eastAsia="es-MX" w:bidi="hi-IN"/>
        </w:rPr>
      </w:pPr>
    </w:p>
    <w:p w:rsidR="00B348BE" w:rsidRPr="00772E03" w:rsidRDefault="00B348BE" w:rsidP="00B348BE">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lastRenderedPageBreak/>
        <w:t>La gráfica muestra un panorama de cuantos alumnos se tienen de acuerdo al nivel educativo en el municipio de Coatzacoalcos. En primer lugar se encuentra el nivel primaria con 35 mil 561 alumnos (ocupandose 1,349 grupos); en segundo lugar se ubica el nivel secundaria con 15 mil 985 alumnos (con 425 grupos), y en tercer lugar la Licenciatura Univ. y Tec. Con 11 mil 680 alumnos.</w:t>
      </w:r>
    </w:p>
    <w:p w:rsidR="00B348BE" w:rsidRPr="00772E03" w:rsidRDefault="00B348BE" w:rsidP="00B348BE">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Sin embargo uno de los niveles educativos en este municipio que no presentan tanta demanda de alumnos es: la educación especial, normal y educación para adultos.</w:t>
      </w:r>
    </w:p>
    <w:p w:rsidR="00717F0E" w:rsidRPr="00772E03" w:rsidRDefault="00717F0E" w:rsidP="00B348BE">
      <w:pPr>
        <w:spacing w:line="360" w:lineRule="auto"/>
        <w:jc w:val="both"/>
        <w:rPr>
          <w:rFonts w:asciiTheme="minorHAnsi" w:hAnsiTheme="minorHAnsi" w:cstheme="minorHAnsi"/>
          <w:b/>
          <w:bCs/>
          <w:noProof/>
          <w:sz w:val="24"/>
          <w:szCs w:val="24"/>
          <w:lang w:eastAsia="es-MX" w:bidi="hi-IN"/>
        </w:rPr>
      </w:pPr>
    </w:p>
    <w:p w:rsidR="00B348BE" w:rsidRPr="00772E03" w:rsidRDefault="00B348BE" w:rsidP="00B348BE">
      <w:pPr>
        <w:spacing w:line="360" w:lineRule="auto"/>
        <w:jc w:val="both"/>
        <w:rPr>
          <w:rFonts w:asciiTheme="minorHAnsi" w:hAnsiTheme="minorHAnsi" w:cstheme="minorHAnsi"/>
          <w:b/>
          <w:bCs/>
          <w:noProof/>
          <w:sz w:val="24"/>
          <w:szCs w:val="24"/>
          <w:lang w:eastAsia="es-MX" w:bidi="hi-IN"/>
        </w:rPr>
      </w:pPr>
      <w:r w:rsidRPr="00772E03">
        <w:rPr>
          <w:rFonts w:asciiTheme="minorHAnsi" w:hAnsiTheme="minorHAnsi" w:cstheme="minorHAnsi"/>
          <w:b/>
          <w:bCs/>
          <w:noProof/>
          <w:sz w:val="24"/>
          <w:szCs w:val="24"/>
          <w:lang w:eastAsia="es-MX" w:bidi="hi-IN"/>
        </w:rPr>
        <w:t xml:space="preserve">Población por localidades </w:t>
      </w:r>
    </w:p>
    <w:p w:rsidR="00B348BE" w:rsidRPr="00772E03" w:rsidRDefault="00B348BE" w:rsidP="00B348BE">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Coatzacoalcos tiene una población de 280 mil 363 habitantes. Las principales localidades son: Coatzacoalcos, Allende, Mundo Nuevo, Lomas de Barrillas Y Fracciónamiento ciudad olmeca, que en conjunto agrupan un 98.2% del total de la población; es decir, 275 mil 415 habitantes. El 1.8% esta conformado por el resto de las poblaciones y que conforman un total de 4 mil 948 habitates.</w:t>
      </w:r>
    </w:p>
    <w:p w:rsidR="00B348BE" w:rsidRPr="00772E03" w:rsidRDefault="00B348BE" w:rsidP="00B348BE">
      <w:pPr>
        <w:spacing w:line="360" w:lineRule="auto"/>
        <w:jc w:val="both"/>
        <w:rPr>
          <w:rFonts w:asciiTheme="minorHAnsi" w:hAnsiTheme="minorHAnsi" w:cstheme="minorHAnsi"/>
          <w:noProof/>
          <w:sz w:val="24"/>
          <w:szCs w:val="24"/>
          <w:lang w:eastAsia="es-MX" w:bidi="hi-IN"/>
        </w:rPr>
      </w:pPr>
    </w:p>
    <w:p w:rsidR="00B348BE" w:rsidRPr="00772E03" w:rsidRDefault="0029009B" w:rsidP="00B348BE">
      <w:pPr>
        <w:jc w:val="center"/>
        <w:rPr>
          <w:rFonts w:asciiTheme="minorHAnsi" w:hAnsiTheme="minorHAnsi" w:cstheme="minorHAnsi"/>
          <w:noProof/>
          <w:sz w:val="24"/>
          <w:szCs w:val="24"/>
          <w:lang w:eastAsia="es-MX" w:bidi="hi-IN"/>
        </w:rPr>
      </w:pPr>
      <w:r w:rsidRPr="0029009B">
        <w:rPr>
          <w:rFonts w:asciiTheme="minorHAnsi" w:hAnsiTheme="minorHAnsi" w:cstheme="minorHAnsi"/>
          <w:b/>
          <w:bCs/>
          <w:noProof/>
          <w:sz w:val="24"/>
          <w:szCs w:val="24"/>
          <w:lang w:eastAsia="es-MX" w:bidi="hi-IN"/>
        </w:rPr>
        <w:pict>
          <v:shape id="_x0000_s1044" type="#_x0000_t202" style="position:absolute;left:0;text-align:left;margin-left:153.4pt;margin-top:210.25pt;width:240.05pt;height:20.3pt;z-index:251693056" strokecolor="white">
            <v:textbox style="mso-next-textbox:#_x0000_s1044">
              <w:txbxContent>
                <w:p w:rsidR="00912E32" w:rsidRPr="00DD5313" w:rsidRDefault="00912E32" w:rsidP="00717F0E">
                  <w:pPr>
                    <w:spacing w:line="240" w:lineRule="auto"/>
                    <w:jc w:val="right"/>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639561" cy="2920104"/>
            <wp:effectExtent l="57150" t="19050" r="84839" b="51696"/>
            <wp:docPr id="77"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lastRenderedPageBreak/>
        <w:t>Salud</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indicador de salud nos permiten evaluar situaciones que se van presentando en el municipio de Coatzacoalcos a través del tiempo y, se puede observar que para el año 2004  la tasa de mortalidad infantil es que por cada1,000 nacimientos 13 son los que mueren; en cambio, la tasa de natalidad es que de cada 1,000 habitantes al año sólo se incrementa en 17 el número de nacimientos y, el indicador que presenta un rango mayor es la tasa de mortalidad general, ya que por cada 100, 000 habitantes 384 muren anualmente. Estas cifras nos dan un panorama de la calidad de vida que se espera para los habitantes de este municipio.</w:t>
      </w:r>
    </w:p>
    <w:p w:rsidR="00B348BE" w:rsidRPr="00772E03" w:rsidRDefault="00B348BE" w:rsidP="00B348BE">
      <w:pPr>
        <w:jc w:val="center"/>
        <w:rPr>
          <w:rFonts w:asciiTheme="minorHAnsi" w:hAnsiTheme="minorHAnsi" w:cstheme="minorHAnsi"/>
          <w:b/>
          <w:bCs/>
          <w:sz w:val="24"/>
          <w:szCs w:val="24"/>
        </w:rPr>
      </w:pPr>
    </w:p>
    <w:p w:rsidR="00B348BE" w:rsidRPr="00772E03" w:rsidRDefault="0029009B" w:rsidP="00B348BE">
      <w:pPr>
        <w:jc w:val="center"/>
        <w:rPr>
          <w:rFonts w:asciiTheme="minorHAnsi" w:hAnsiTheme="minorHAnsi" w:cstheme="minorHAnsi"/>
          <w:b/>
          <w:bCs/>
          <w:sz w:val="24"/>
          <w:szCs w:val="24"/>
        </w:rPr>
      </w:pPr>
      <w:r w:rsidRPr="0029009B">
        <w:rPr>
          <w:rFonts w:asciiTheme="minorHAnsi" w:hAnsiTheme="minorHAnsi" w:cstheme="minorHAnsi"/>
          <w:noProof/>
          <w:sz w:val="24"/>
          <w:szCs w:val="24"/>
          <w:lang w:eastAsia="es-MX" w:bidi="hi-IN"/>
        </w:rPr>
        <w:pict>
          <v:shape id="_x0000_s1121" type="#_x0000_t202" style="position:absolute;left:0;text-align:left;margin-left:151.3pt;margin-top:196.45pt;width:240.05pt;height:20.3pt;z-index:251744256" strokecolor="white">
            <v:textbox style="mso-next-textbox:#_x0000_s1121">
              <w:txbxContent>
                <w:p w:rsidR="00912E32" w:rsidRPr="00DD5313" w:rsidRDefault="00912E32" w:rsidP="00717F0E">
                  <w:pPr>
                    <w:spacing w:after="0" w:line="240" w:lineRule="auto"/>
                    <w:jc w:val="right"/>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b/>
          <w:bCs/>
          <w:noProof/>
          <w:sz w:val="24"/>
          <w:szCs w:val="24"/>
          <w:lang w:eastAsia="es-MX"/>
        </w:rPr>
        <w:drawing>
          <wp:inline distT="0" distB="0" distL="0" distR="0">
            <wp:extent cx="4573016" cy="2743073"/>
            <wp:effectExtent l="57150" t="19050" r="75184" b="57277"/>
            <wp:docPr id="76"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materia de salud, Coatzacoalcos presenta un alto nivel poblacional es derechohabiente del servicio de salud con un 64%, es decir, 174 mil 966 personas tienen acceso a este servicio; mientras tanto, el 36% de la población se encuentra sin derechohabiencia al servicio de salud con 100 mil 147 personas. </w:t>
      </w:r>
    </w:p>
    <w:p w:rsidR="00B348BE" w:rsidRPr="00772E03" w:rsidRDefault="00B348BE" w:rsidP="00B348BE">
      <w:pPr>
        <w:jc w:val="both"/>
        <w:rPr>
          <w:rFonts w:asciiTheme="minorHAnsi" w:hAnsiTheme="minorHAnsi" w:cstheme="minorHAnsi"/>
          <w:sz w:val="24"/>
          <w:szCs w:val="24"/>
        </w:rPr>
      </w:pPr>
    </w:p>
    <w:p w:rsidR="00B348BE" w:rsidRPr="00772E03" w:rsidRDefault="0029009B" w:rsidP="00B348BE">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45" type="#_x0000_t202" style="position:absolute;left:0;text-align:left;margin-left:28.3pt;margin-top:186.65pt;width:240.05pt;height:13.8pt;z-index:251694080" strokecolor="white">
            <v:textbox style="mso-next-textbox:#_x0000_s1045">
              <w:txbxContent>
                <w:p w:rsidR="00912E32" w:rsidRPr="00DD5313" w:rsidRDefault="00912E32" w:rsidP="00717F0E">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5066093" cy="2543018"/>
            <wp:effectExtent l="57150" t="19050" r="77407" b="47782"/>
            <wp:docPr id="75"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348BE" w:rsidRPr="00772E03" w:rsidRDefault="00B348BE" w:rsidP="00B348BE">
      <w:pPr>
        <w:jc w:val="both"/>
        <w:rPr>
          <w:rFonts w:asciiTheme="minorHAnsi" w:hAnsiTheme="minorHAnsi" w:cstheme="minorHAnsi"/>
          <w:noProof/>
          <w:sz w:val="24"/>
          <w:szCs w:val="24"/>
          <w:lang w:eastAsia="es-MX" w:bidi="hi-IN"/>
        </w:rPr>
      </w:pPr>
    </w:p>
    <w:p w:rsidR="00B348BE" w:rsidRPr="00772E03" w:rsidRDefault="00B348BE" w:rsidP="00B348BE">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En Coatzacoalcos, como ya señalamos anteriormente, la mayor parte de su población cuenta con el servicio de salud a través de alguna institución pública: 109 mil 821  (el 39.17% de la población  total del municipio) es derechohabiente al Instituto Mexicano del Seguro Social (IMSS), 9 mil 525 del ISSSTE (3.3% de la población total) y 22 mil 661 son beneficiarios del Seguro Popular (8.08%).</w:t>
      </w:r>
    </w:p>
    <w:p w:rsidR="00B348BE" w:rsidRPr="00772E03" w:rsidRDefault="00B348BE" w:rsidP="00B348BE">
      <w:pPr>
        <w:jc w:val="both"/>
        <w:rPr>
          <w:rFonts w:asciiTheme="minorHAnsi" w:hAnsiTheme="minorHAnsi" w:cstheme="minorHAnsi"/>
          <w:noProof/>
          <w:sz w:val="24"/>
          <w:szCs w:val="24"/>
          <w:lang w:eastAsia="es-MX" w:bidi="hi-IN"/>
        </w:rPr>
      </w:pPr>
    </w:p>
    <w:p w:rsidR="00B348BE" w:rsidRPr="00772E03" w:rsidRDefault="0029009B" w:rsidP="00B348BE">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046" type="#_x0000_t202" style="position:absolute;left:0;text-align:left;margin-left:47.15pt;margin-top:219.85pt;width:240.05pt;height:13.8pt;z-index:251695104" strokecolor="white">
            <v:textbox style="mso-next-textbox:#_x0000_s1046">
              <w:txbxContent>
                <w:p w:rsidR="00912E32" w:rsidRPr="00DD5313" w:rsidRDefault="00912E32" w:rsidP="00717F0E">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604354" cy="2966101"/>
            <wp:effectExtent l="57150" t="19050" r="81946" b="62849"/>
            <wp:docPr id="74"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Como se podrá observar Coatzacoalcos tiene un porcentaje alto en servicio de salud, en donde a la población se le está prestando asistencia por alguna institución pública; sin embargo  el municipio tendrá que seguir destinando y atendiendo  este rubro tan importante como es el servicio de salud, para una mejora en el bienestar de la sociedad en su conjunto.</w:t>
      </w:r>
    </w:p>
    <w:p w:rsidR="00B348BE" w:rsidRPr="00772E03" w:rsidRDefault="00B348BE" w:rsidP="00B348BE">
      <w:pPr>
        <w:jc w:val="both"/>
        <w:rPr>
          <w:rFonts w:asciiTheme="minorHAnsi" w:hAnsiTheme="minorHAnsi" w:cstheme="minorHAnsi"/>
          <w:sz w:val="24"/>
          <w:szCs w:val="24"/>
        </w:rPr>
      </w:pPr>
    </w:p>
    <w:p w:rsidR="00B348BE" w:rsidRPr="00772E03" w:rsidRDefault="00B348BE" w:rsidP="00B348BE">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Apoyos sociales</w:t>
      </w:r>
    </w:p>
    <w:p w:rsidR="00B348BE" w:rsidRPr="00772E03" w:rsidRDefault="00B348BE" w:rsidP="00B348BE">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está contemplado dentro del programa de oportunidades que lleva a cabo el gobierno federal brindando apoyos en educación, salud, nutrición e ingreso. Es un programa para el desarrollo humano de la población en pobreza extrema y Coatzacoalcos se ve beneficiado con: becas educativas 24 millones 401 mil 315, alimentos 13 millones 478 mil 005 y útiles escolares 2 millones 076 mil 075. Las cifras anteriores nos da un panorama de cómo estos apoyos son destinados a la población para una mejora en materia de bienestar social.</w:t>
      </w:r>
    </w:p>
    <w:p w:rsidR="00B348BE" w:rsidRPr="00772E03" w:rsidRDefault="0029009B" w:rsidP="00B348BE">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pict>
          <v:shape id="_x0000_s1122" type="#_x0000_t202" style="position:absolute;left:0;text-align:left;margin-left:51.65pt;margin-top:201.45pt;width:240.05pt;height:15.75pt;z-index:251745280" strokecolor="white">
            <v:textbox style="mso-next-textbox:#_x0000_s1122">
              <w:txbxContent>
                <w:p w:rsidR="00912E32" w:rsidRPr="00DD5313" w:rsidRDefault="00912E32" w:rsidP="00766167">
                  <w:pPr>
                    <w:spacing w:line="240" w:lineRule="auto"/>
                    <w:rPr>
                      <w:rFonts w:ascii="Arial" w:hAnsi="Arial" w:cs="Arial"/>
                    </w:rPr>
                  </w:pPr>
                  <w:r>
                    <w:rPr>
                      <w:rFonts w:ascii="Arial" w:hAnsi="Arial" w:cs="Arial"/>
                      <w:sz w:val="12"/>
                      <w:szCs w:val="12"/>
                    </w:rPr>
                    <w:t xml:space="preserve">Fuente: II Conteo de Población y Vivienda 2005. </w:t>
                  </w:r>
                  <w:r w:rsidRPr="00972702">
                    <w:rPr>
                      <w:rFonts w:ascii="Arial" w:hAnsi="Arial" w:cs="Arial"/>
                      <w:sz w:val="12"/>
                      <w:szCs w:val="12"/>
                    </w:rPr>
                    <w:t>Inegi</w:t>
                  </w:r>
                  <w:r>
                    <w:rPr>
                      <w:rFonts w:ascii="Arial" w:hAnsi="Arial" w:cs="Arial"/>
                      <w:sz w:val="12"/>
                      <w:szCs w:val="12"/>
                    </w:rPr>
                    <w:t>.</w:t>
                  </w:r>
                </w:p>
              </w:txbxContent>
            </v:textbox>
          </v:shape>
        </w:pict>
      </w:r>
      <w:r w:rsidR="003E3A9E" w:rsidRPr="00772E03">
        <w:rPr>
          <w:rFonts w:asciiTheme="minorHAnsi" w:hAnsiTheme="minorHAnsi" w:cstheme="minorHAnsi"/>
          <w:noProof/>
          <w:sz w:val="24"/>
          <w:szCs w:val="24"/>
          <w:lang w:eastAsia="es-MX"/>
        </w:rPr>
        <w:drawing>
          <wp:inline distT="0" distB="0" distL="0" distR="0">
            <wp:extent cx="4571238" cy="2745232"/>
            <wp:effectExtent l="57150" t="19050" r="76962" b="55118"/>
            <wp:docPr id="73"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B348BE" w:rsidRPr="00772E03" w:rsidRDefault="00B348BE" w:rsidP="00B348BE">
      <w:pPr>
        <w:tabs>
          <w:tab w:val="left" w:pos="1635"/>
        </w:tabs>
        <w:rPr>
          <w:rFonts w:asciiTheme="minorHAnsi" w:hAnsiTheme="minorHAnsi" w:cstheme="minorHAnsi"/>
          <w:b/>
          <w:bCs/>
          <w:sz w:val="24"/>
          <w:szCs w:val="24"/>
        </w:rPr>
      </w:pPr>
    </w:p>
    <w:p w:rsidR="00B348BE" w:rsidRPr="00772E03" w:rsidRDefault="00B348BE" w:rsidP="00B348BE">
      <w:pPr>
        <w:tabs>
          <w:tab w:val="left" w:pos="1635"/>
        </w:tabs>
        <w:rPr>
          <w:rFonts w:asciiTheme="minorHAnsi" w:hAnsiTheme="minorHAnsi" w:cstheme="minorHAnsi"/>
          <w:b/>
          <w:bCs/>
          <w:sz w:val="24"/>
          <w:szCs w:val="24"/>
        </w:rPr>
      </w:pPr>
    </w:p>
    <w:p w:rsidR="00B348BE" w:rsidRPr="00772E03" w:rsidRDefault="00B348BE" w:rsidP="00B348BE">
      <w:pPr>
        <w:tabs>
          <w:tab w:val="left" w:pos="1635"/>
        </w:tabs>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Migración</w:t>
      </w:r>
    </w:p>
    <w:p w:rsidR="00B348BE" w:rsidRPr="00772E03" w:rsidRDefault="00B348BE" w:rsidP="00B348BE">
      <w:pPr>
        <w:tabs>
          <w:tab w:val="left" w:pos="1635"/>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migración es un factor que aqueja a la población del municipio de Coatzacoalcos, ya que consiste en que la población deja el país en busca de mejores oportunidades económicas. Así, para el año 2000 los hogares con emigrantes en Estados Unidos fue  de 1.52%  (1, 056 hogares); mientras que los hogares  con migrantes circulares fue de .28% (196 hogares) y solamente .11% (76 hogares) de los hogares retornaron a este municipio.</w:t>
      </w:r>
    </w:p>
    <w:p w:rsidR="00B348BE" w:rsidRPr="00772E03" w:rsidRDefault="00B348BE" w:rsidP="00B348BE">
      <w:pPr>
        <w:tabs>
          <w:tab w:val="left" w:pos="1635"/>
        </w:tabs>
        <w:jc w:val="both"/>
        <w:rPr>
          <w:rFonts w:asciiTheme="minorHAnsi" w:hAnsiTheme="minorHAnsi" w:cstheme="minorHAnsi"/>
          <w:sz w:val="24"/>
          <w:szCs w:val="24"/>
        </w:rPr>
      </w:pPr>
    </w:p>
    <w:p w:rsidR="00B348BE" w:rsidRPr="00772E03" w:rsidRDefault="003E3A9E" w:rsidP="00B348BE">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drawing>
          <wp:inline distT="0" distB="0" distL="0" distR="0">
            <wp:extent cx="4571238" cy="2745232"/>
            <wp:effectExtent l="57150" t="19050" r="76962" b="55118"/>
            <wp:docPr id="72" name="Gráfic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B348BE" w:rsidRPr="00772E03" w:rsidRDefault="00B348BE" w:rsidP="00B348BE">
      <w:pPr>
        <w:jc w:val="center"/>
        <w:rPr>
          <w:rFonts w:asciiTheme="minorHAnsi" w:hAnsiTheme="minorHAnsi" w:cstheme="minorHAnsi"/>
          <w:sz w:val="24"/>
          <w:szCs w:val="24"/>
        </w:rPr>
      </w:pPr>
    </w:p>
    <w:p w:rsidR="00B348BE" w:rsidRPr="00772E03" w:rsidRDefault="00B348BE" w:rsidP="00B348BE">
      <w:pPr>
        <w:jc w:val="center"/>
        <w:rPr>
          <w:rFonts w:asciiTheme="minorHAnsi" w:hAnsiTheme="minorHAnsi" w:cstheme="minorHAnsi"/>
          <w:sz w:val="24"/>
          <w:szCs w:val="24"/>
        </w:rPr>
      </w:pPr>
    </w:p>
    <w:p w:rsidR="00F0261F" w:rsidRPr="00772E03" w:rsidRDefault="00F0261F" w:rsidP="00F0261F">
      <w:pPr>
        <w:rPr>
          <w:rFonts w:asciiTheme="minorHAnsi" w:hAnsiTheme="minorHAnsi" w:cstheme="minorHAnsi"/>
          <w:sz w:val="24"/>
          <w:szCs w:val="24"/>
        </w:rPr>
      </w:pPr>
    </w:p>
    <w:p w:rsidR="003E3A9E" w:rsidRPr="00772E03" w:rsidRDefault="003E3A9E" w:rsidP="00F0261F">
      <w:pPr>
        <w:rPr>
          <w:rFonts w:asciiTheme="minorHAnsi" w:hAnsiTheme="minorHAnsi" w:cstheme="minorHAnsi"/>
          <w:sz w:val="24"/>
          <w:szCs w:val="24"/>
        </w:rPr>
      </w:pPr>
    </w:p>
    <w:p w:rsidR="003E3A9E" w:rsidRPr="00772E03" w:rsidRDefault="003E3A9E" w:rsidP="00F0261F">
      <w:pPr>
        <w:rPr>
          <w:rFonts w:asciiTheme="minorHAnsi" w:hAnsiTheme="minorHAnsi" w:cstheme="minorHAnsi"/>
          <w:sz w:val="24"/>
          <w:szCs w:val="24"/>
        </w:rPr>
      </w:pPr>
    </w:p>
    <w:p w:rsidR="003E3A9E" w:rsidRPr="00772E03" w:rsidRDefault="003E3A9E" w:rsidP="00F0261F">
      <w:pPr>
        <w:rPr>
          <w:rFonts w:asciiTheme="minorHAnsi" w:hAnsiTheme="minorHAnsi" w:cstheme="minorHAnsi"/>
          <w:sz w:val="24"/>
          <w:szCs w:val="24"/>
        </w:rPr>
      </w:pPr>
    </w:p>
    <w:p w:rsidR="003E3A9E" w:rsidRPr="00772E03" w:rsidRDefault="003E3A9E" w:rsidP="00F0261F">
      <w:pPr>
        <w:rPr>
          <w:rFonts w:asciiTheme="minorHAnsi" w:hAnsiTheme="minorHAnsi" w:cstheme="minorHAnsi"/>
          <w:sz w:val="24"/>
          <w:szCs w:val="24"/>
        </w:rPr>
      </w:pPr>
    </w:p>
    <w:p w:rsidR="003E3A9E" w:rsidRPr="00772E03" w:rsidRDefault="003E3A9E" w:rsidP="00F0261F">
      <w:pPr>
        <w:rPr>
          <w:rFonts w:asciiTheme="minorHAnsi" w:hAnsiTheme="minorHAnsi" w:cstheme="minorHAnsi"/>
          <w:sz w:val="24"/>
          <w:szCs w:val="24"/>
        </w:rPr>
      </w:pPr>
    </w:p>
    <w:p w:rsidR="00F15EB4" w:rsidRPr="00772E03" w:rsidRDefault="00F15EB4" w:rsidP="003E3A9E">
      <w:pPr>
        <w:rPr>
          <w:rFonts w:asciiTheme="minorHAnsi" w:hAnsiTheme="minorHAnsi" w:cstheme="minorHAnsi"/>
          <w:b/>
          <w:bCs/>
          <w:sz w:val="24"/>
          <w:szCs w:val="24"/>
        </w:rPr>
      </w:pPr>
    </w:p>
    <w:p w:rsidR="002644BC" w:rsidRPr="00772E03" w:rsidRDefault="002644BC" w:rsidP="003E3A9E">
      <w:pPr>
        <w:rPr>
          <w:rFonts w:asciiTheme="minorHAnsi" w:hAnsiTheme="minorHAnsi" w:cstheme="minorHAnsi"/>
          <w:b/>
          <w:bCs/>
          <w:sz w:val="24"/>
          <w:szCs w:val="24"/>
        </w:rPr>
      </w:pPr>
    </w:p>
    <w:p w:rsidR="00F15EB4" w:rsidRPr="00772E03" w:rsidRDefault="00F15EB4" w:rsidP="003E3A9E">
      <w:pPr>
        <w:rPr>
          <w:rFonts w:asciiTheme="minorHAnsi" w:hAnsiTheme="minorHAnsi" w:cstheme="minorHAnsi"/>
          <w:b/>
          <w:bCs/>
          <w:sz w:val="24"/>
          <w:szCs w:val="24"/>
        </w:rPr>
      </w:pPr>
    </w:p>
    <w:p w:rsidR="00F15EB4" w:rsidRPr="00772E03" w:rsidRDefault="00F15EB4" w:rsidP="003E3A9E">
      <w:pPr>
        <w:rPr>
          <w:rFonts w:asciiTheme="minorHAnsi" w:hAnsiTheme="minorHAnsi" w:cstheme="minorHAnsi"/>
          <w:b/>
          <w:bCs/>
          <w:sz w:val="24"/>
          <w:szCs w:val="24"/>
        </w:rPr>
      </w:pPr>
    </w:p>
    <w:p w:rsidR="00F15EB4" w:rsidRPr="00772E03" w:rsidRDefault="00F15EB4" w:rsidP="003E3A9E">
      <w:pPr>
        <w:rPr>
          <w:rFonts w:asciiTheme="minorHAnsi" w:hAnsiTheme="minorHAnsi" w:cstheme="minorHAnsi"/>
          <w:b/>
          <w:bCs/>
          <w:sz w:val="24"/>
          <w:szCs w:val="24"/>
        </w:rPr>
      </w:pPr>
    </w:p>
    <w:p w:rsidR="00F15EB4" w:rsidRPr="00772E03" w:rsidRDefault="00F15EB4" w:rsidP="003E3A9E">
      <w:pPr>
        <w:rPr>
          <w:rFonts w:asciiTheme="minorHAnsi" w:hAnsiTheme="minorHAnsi" w:cstheme="minorHAnsi"/>
          <w:b/>
          <w:bCs/>
          <w:sz w:val="24"/>
          <w:szCs w:val="24"/>
        </w:rPr>
      </w:pPr>
    </w:p>
    <w:p w:rsidR="00F15EB4" w:rsidRPr="00772E03" w:rsidRDefault="00F15EB4" w:rsidP="003E3A9E">
      <w:pPr>
        <w:rPr>
          <w:rFonts w:asciiTheme="minorHAnsi" w:hAnsiTheme="minorHAnsi" w:cstheme="minorHAnsi"/>
          <w:b/>
          <w:bCs/>
          <w:sz w:val="24"/>
          <w:szCs w:val="24"/>
        </w:rPr>
      </w:pPr>
    </w:p>
    <w:p w:rsidR="003E3A9E" w:rsidRPr="00772E03" w:rsidRDefault="003E3A9E" w:rsidP="003E3A9E">
      <w:pPr>
        <w:rPr>
          <w:rFonts w:asciiTheme="minorHAnsi" w:hAnsiTheme="minorHAnsi" w:cstheme="minorHAnsi"/>
          <w:b/>
          <w:bCs/>
          <w:sz w:val="24"/>
          <w:szCs w:val="24"/>
        </w:rPr>
      </w:pPr>
    </w:p>
    <w:p w:rsidR="003E3A9E" w:rsidRPr="00772E03" w:rsidRDefault="003E3A9E" w:rsidP="003E3A9E">
      <w:pPr>
        <w:jc w:val="center"/>
        <w:rPr>
          <w:rFonts w:asciiTheme="minorHAnsi" w:hAnsiTheme="minorHAnsi" w:cstheme="minorHAnsi"/>
          <w:b/>
          <w:bCs/>
          <w:sz w:val="40"/>
          <w:szCs w:val="40"/>
        </w:rPr>
      </w:pPr>
      <w:r w:rsidRPr="00772E03">
        <w:rPr>
          <w:rFonts w:asciiTheme="minorHAnsi" w:hAnsiTheme="minorHAnsi" w:cstheme="minorHAnsi"/>
          <w:b/>
          <w:bCs/>
          <w:sz w:val="40"/>
          <w:szCs w:val="40"/>
        </w:rPr>
        <w:t>La Economía Municipal</w:t>
      </w:r>
    </w:p>
    <w:p w:rsidR="003E3A9E" w:rsidRPr="00772E03" w:rsidRDefault="003E3A9E" w:rsidP="003E3A9E">
      <w:pPr>
        <w:jc w:val="cente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rPr>
          <w:rFonts w:asciiTheme="minorHAnsi" w:hAnsiTheme="minorHAnsi" w:cstheme="minorHAnsi"/>
          <w:b/>
          <w:bCs/>
          <w:sz w:val="40"/>
          <w:szCs w:val="40"/>
        </w:rPr>
      </w:pPr>
    </w:p>
    <w:p w:rsidR="003E3A9E" w:rsidRPr="00772E03" w:rsidRDefault="003E3A9E" w:rsidP="003E3A9E">
      <w:pPr>
        <w:jc w:val="right"/>
        <w:rPr>
          <w:rFonts w:asciiTheme="minorHAnsi" w:hAnsiTheme="minorHAnsi" w:cstheme="minorHAnsi"/>
          <w:b/>
          <w:bCs/>
          <w:sz w:val="40"/>
          <w:szCs w:val="40"/>
        </w:rPr>
      </w:pPr>
      <w:r w:rsidRPr="00772E03">
        <w:rPr>
          <w:rFonts w:asciiTheme="minorHAnsi" w:hAnsiTheme="minorHAnsi" w:cstheme="minorHAnsi"/>
          <w:b/>
          <w:bCs/>
          <w:sz w:val="40"/>
          <w:szCs w:val="40"/>
        </w:rPr>
        <w:t>Capítulo II</w:t>
      </w:r>
    </w:p>
    <w:p w:rsidR="007A1AE0" w:rsidRDefault="007A1AE0" w:rsidP="009B1733">
      <w:pPr>
        <w:spacing w:line="360" w:lineRule="auto"/>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El Producto Interno Bruto</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es uno de los más ricos del estado, considerando el valor de su Producto Interno Bruto Municipal (PIBM) de 2005, el cual alcanzó un monto de 12 mil 855 millones 237 mil pesos, que representan el 4.1% del Producto Interno Bruto Estatal (PIBE). Esto coloca a Coatzacoalcos en el 3º  lugar a nivel estatal, lo cual significa que es uno de los municipios con un amplio crecimiento económico como: Veracruz y Xalapa.</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PIBM per cápita para Coatzacoalcos en ese mismo año fue de 45 mil 852 pesos, superior  al PIB per cápita estatal, que es de 43 mil 940 pesos.</w:t>
      </w:r>
    </w:p>
    <w:p w:rsidR="009B1733" w:rsidRPr="00772E03" w:rsidRDefault="0029009B" w:rsidP="009B1733">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pict>
          <v:shape id="_x0000_s1085" type="#_x0000_t202" style="position:absolute;left:0;text-align:left;margin-left:134pt;margin-top:350.3pt;width:240.05pt;height:13.8pt;z-index:251706368" strokecolor="white">
            <v:textbox style="mso-next-textbox:#_x0000_s1085">
              <w:txbxContent>
                <w:p w:rsidR="00912E32" w:rsidRPr="00DD5313" w:rsidRDefault="00912E32" w:rsidP="00786F7A">
                  <w:pPr>
                    <w:spacing w:line="240" w:lineRule="auto"/>
                    <w:jc w:val="right"/>
                    <w:rPr>
                      <w:rFonts w:ascii="Arial" w:hAnsi="Arial" w:cs="Arial"/>
                    </w:rPr>
                  </w:pPr>
                  <w:r>
                    <w:rPr>
                      <w:rFonts w:ascii="Arial" w:hAnsi="Arial" w:cs="Arial"/>
                      <w:sz w:val="12"/>
                      <w:szCs w:val="12"/>
                    </w:rPr>
                    <w:t>Fuente: Elaboración propia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098089" cy="4604225"/>
            <wp:effectExtent l="57150" t="19050" r="73861" b="63025"/>
            <wp:docPr id="243"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9B1733" w:rsidRPr="00772E03" w:rsidRDefault="009B1733" w:rsidP="009B1733">
      <w:pPr>
        <w:rPr>
          <w:rFonts w:asciiTheme="minorHAnsi" w:hAnsiTheme="minorHAnsi" w:cstheme="minorHAnsi"/>
          <w:b/>
          <w:bCs/>
          <w:sz w:val="24"/>
          <w:szCs w:val="24"/>
        </w:rPr>
      </w:pPr>
    </w:p>
    <w:p w:rsidR="007A1AE0" w:rsidRDefault="007A1AE0" w:rsidP="009B1733">
      <w:pPr>
        <w:spacing w:line="360" w:lineRule="auto"/>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La estructura económica</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dinámica económica del municipio está sustentada en un total de 10 mil 986 empresas, lo cual significa que la economía se encuentra estable; ya que es uno de los municipios que se encuentra en los primeros lugares en cuanto a participación del Producto Interno Bruto Estatal.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mayor número de empresas se concentran de manera fundamental en </w:t>
      </w:r>
      <w:r w:rsidR="009712A0" w:rsidRPr="00772E03">
        <w:rPr>
          <w:rFonts w:asciiTheme="minorHAnsi" w:hAnsiTheme="minorHAnsi" w:cstheme="minorHAnsi"/>
          <w:sz w:val="24"/>
          <w:szCs w:val="24"/>
        </w:rPr>
        <w:t>el sector comercial, con un 48.2</w:t>
      </w:r>
      <w:r w:rsidRPr="00772E03">
        <w:rPr>
          <w:rFonts w:asciiTheme="minorHAnsi" w:hAnsiTheme="minorHAnsi" w:cstheme="minorHAnsi"/>
          <w:sz w:val="24"/>
          <w:szCs w:val="24"/>
        </w:rPr>
        <w:t>% del total (5 mil 290 empresas), particularmente al comercio al por menor, que contiene un 45% del total de las empresas del municipio (4 mil 918 unidades).</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87" type="#_x0000_t202" style="position:absolute;left:0;text-align:left;margin-left:43pt;margin-top:186.6pt;width:240.05pt;height:13.8pt;z-index:251708416" strokecolor="white">
            <v:textbox style="mso-next-textbox:#_x0000_s1087">
              <w:txbxContent>
                <w:p w:rsidR="00912E32" w:rsidRPr="00DD5313" w:rsidRDefault="00912E32" w:rsidP="008C6C1B">
                  <w:pPr>
                    <w:spacing w:line="240" w:lineRule="auto"/>
                    <w:rPr>
                      <w:rFonts w:ascii="Arial" w:hAnsi="Arial" w:cs="Arial"/>
                    </w:rPr>
                  </w:pPr>
                  <w:r>
                    <w:rPr>
                      <w:rFonts w:ascii="Arial" w:hAnsi="Arial" w:cs="Arial"/>
                      <w:sz w:val="12"/>
                      <w:szCs w:val="12"/>
                    </w:rPr>
                    <w:t>Fuente: Censos Económicos 2005.</w:t>
                  </w:r>
                </w:p>
              </w:txbxContent>
            </v:textbox>
          </v:shape>
        </w:pict>
      </w:r>
      <w:r w:rsidR="009B1733" w:rsidRPr="00772E03">
        <w:rPr>
          <w:rFonts w:asciiTheme="minorHAnsi" w:hAnsiTheme="minorHAnsi" w:cstheme="minorHAnsi"/>
          <w:noProof/>
          <w:sz w:val="24"/>
          <w:szCs w:val="24"/>
          <w:lang w:eastAsia="es-MX"/>
        </w:rPr>
        <w:drawing>
          <wp:inline distT="0" distB="0" distL="0" distR="0">
            <wp:extent cx="4687844" cy="2544051"/>
            <wp:effectExtent l="57150" t="19050" r="74656" b="65799"/>
            <wp:docPr id="244"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9B1733" w:rsidRPr="00772E03" w:rsidRDefault="009B1733" w:rsidP="009B1733">
      <w:pPr>
        <w:rPr>
          <w:rFonts w:asciiTheme="minorHAnsi" w:hAnsiTheme="minorHAnsi" w:cstheme="minorHAnsi"/>
          <w:sz w:val="24"/>
          <w:szCs w:val="24"/>
        </w:rPr>
      </w:pPr>
    </w:p>
    <w:p w:rsidR="009B1733" w:rsidRPr="00772E03" w:rsidRDefault="009B1733" w:rsidP="009712A0">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Otro sector importante en la economía municipal  es el de servicios, el cual es compuesto por un 40.5% del total de las empresas p</w:t>
      </w:r>
      <w:r w:rsidR="009712A0" w:rsidRPr="00772E03">
        <w:rPr>
          <w:rFonts w:asciiTheme="minorHAnsi" w:hAnsiTheme="minorHAnsi" w:cstheme="minorHAnsi"/>
          <w:sz w:val="24"/>
          <w:szCs w:val="24"/>
        </w:rPr>
        <w:t>roductivas (4 mil 451 empresas); la industria manufacturera solo representa el 7.8%  (862 empresas), transportes, correos, almacenamiento e información  con el 1.4% (159 empre</w:t>
      </w:r>
      <w:r w:rsidR="002C01C4" w:rsidRPr="00772E03">
        <w:rPr>
          <w:rFonts w:asciiTheme="minorHAnsi" w:hAnsiTheme="minorHAnsi" w:cstheme="minorHAnsi"/>
          <w:sz w:val="24"/>
          <w:szCs w:val="24"/>
        </w:rPr>
        <w:t>sas) y la construcción con sólo 0.9% (94 empresas).</w:t>
      </w:r>
    </w:p>
    <w:p w:rsidR="009712A0" w:rsidRPr="00772E03" w:rsidRDefault="009712A0" w:rsidP="009B1733">
      <w:pPr>
        <w:spacing w:line="360" w:lineRule="auto"/>
        <w:rPr>
          <w:rFonts w:asciiTheme="minorHAnsi" w:hAnsiTheme="minorHAnsi" w:cstheme="minorHAnsi"/>
          <w:sz w:val="24"/>
          <w:szCs w:val="24"/>
        </w:rPr>
      </w:pPr>
    </w:p>
    <w:p w:rsidR="009712A0" w:rsidRPr="00772E03" w:rsidRDefault="009712A0" w:rsidP="009B1733">
      <w:pPr>
        <w:spacing w:line="360" w:lineRule="auto"/>
        <w:rPr>
          <w:rFonts w:asciiTheme="minorHAnsi" w:hAnsiTheme="minorHAnsi" w:cstheme="minorHAnsi"/>
          <w:sz w:val="24"/>
          <w:szCs w:val="24"/>
        </w:rPr>
      </w:pPr>
    </w:p>
    <w:p w:rsidR="002C01C4" w:rsidRPr="00772E03" w:rsidRDefault="002C01C4" w:rsidP="002C01C4">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el sector servicios, uno de los subsectores de gran importancia es el de  “</w:t>
      </w:r>
      <w:r w:rsidRPr="00772E03">
        <w:rPr>
          <w:rFonts w:asciiTheme="minorHAnsi" w:hAnsiTheme="minorHAnsi" w:cstheme="minorHAnsi"/>
          <w:sz w:val="24"/>
          <w:szCs w:val="24"/>
          <w:shd w:val="clear" w:color="auto" w:fill="FFFFFF" w:themeFill="background1"/>
        </w:rPr>
        <w:t>Otros servicios”</w:t>
      </w:r>
      <w:r w:rsidRPr="00772E03">
        <w:rPr>
          <w:rStyle w:val="Refdenotaalpie"/>
          <w:rFonts w:asciiTheme="minorHAnsi" w:hAnsiTheme="minorHAnsi" w:cstheme="minorHAnsi"/>
          <w:sz w:val="24"/>
          <w:szCs w:val="24"/>
        </w:rPr>
        <w:footnoteReference w:id="3"/>
      </w:r>
      <w:r w:rsidRPr="00772E03">
        <w:rPr>
          <w:rFonts w:asciiTheme="minorHAnsi" w:hAnsiTheme="minorHAnsi" w:cstheme="minorHAnsi"/>
          <w:sz w:val="24"/>
          <w:szCs w:val="24"/>
        </w:rPr>
        <w:t xml:space="preserve"> con mil 501 empresas (13.7% del total), el cual se encuentra integrado por los servicios de reparación y mantenimiento, personales, asociaciones y organizaciones.</w:t>
      </w:r>
    </w:p>
    <w:p w:rsidR="002C01C4" w:rsidRPr="00772E03" w:rsidRDefault="002C01C4" w:rsidP="002C01C4">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Podemos observar que los servicios de reparación y mantenimiento se integran de 958 empresas, los servicios personales de 501 empresas y los de las asociaciones y organizaciones con 42 empresas</w:t>
      </w:r>
      <w:r w:rsidR="00F65D5C" w:rsidRPr="00772E03">
        <w:rPr>
          <w:rFonts w:asciiTheme="minorHAnsi" w:hAnsiTheme="minorHAnsi" w:cstheme="minorHAnsi"/>
          <w:sz w:val="24"/>
          <w:szCs w:val="24"/>
        </w:rPr>
        <w:t xml:space="preserve">. Esto nos brinda un panorama más claro de </w:t>
      </w:r>
      <w:r w:rsidRPr="00772E03">
        <w:rPr>
          <w:rFonts w:asciiTheme="minorHAnsi" w:hAnsiTheme="minorHAnsi" w:cstheme="minorHAnsi"/>
          <w:sz w:val="24"/>
          <w:szCs w:val="24"/>
        </w:rPr>
        <w:t>la gran importancia que representa este se</w:t>
      </w:r>
      <w:r w:rsidR="00F65D5C" w:rsidRPr="00772E03">
        <w:rPr>
          <w:rFonts w:asciiTheme="minorHAnsi" w:hAnsiTheme="minorHAnsi" w:cstheme="minorHAnsi"/>
          <w:sz w:val="24"/>
          <w:szCs w:val="24"/>
        </w:rPr>
        <w:t>ctor en el municipio de Coatzacoalcos</w:t>
      </w:r>
      <w:r w:rsidRPr="00772E03">
        <w:rPr>
          <w:rFonts w:asciiTheme="minorHAnsi" w:hAnsiTheme="minorHAnsi" w:cstheme="minorHAnsi"/>
          <w:sz w:val="24"/>
          <w:szCs w:val="24"/>
        </w:rPr>
        <w:t>, sabiendo que estas empresas so</w:t>
      </w:r>
      <w:r w:rsidR="00F65D5C" w:rsidRPr="00772E03">
        <w:rPr>
          <w:rFonts w:asciiTheme="minorHAnsi" w:hAnsiTheme="minorHAnsi" w:cstheme="minorHAnsi"/>
          <w:sz w:val="24"/>
          <w:szCs w:val="24"/>
        </w:rPr>
        <w:t xml:space="preserve">n </w:t>
      </w:r>
      <w:r w:rsidRPr="00772E03">
        <w:rPr>
          <w:rFonts w:asciiTheme="minorHAnsi" w:hAnsiTheme="minorHAnsi" w:cstheme="minorHAnsi"/>
          <w:sz w:val="24"/>
          <w:szCs w:val="24"/>
        </w:rPr>
        <w:t>factor determinante de nuestra economía.</w:t>
      </w:r>
    </w:p>
    <w:tbl>
      <w:tblPr>
        <w:tblW w:w="8606" w:type="dxa"/>
        <w:jc w:val="center"/>
        <w:tblInd w:w="53" w:type="dxa"/>
        <w:tblCellMar>
          <w:left w:w="70" w:type="dxa"/>
          <w:right w:w="70" w:type="dxa"/>
        </w:tblCellMar>
        <w:tblLook w:val="04A0"/>
      </w:tblPr>
      <w:tblGrid>
        <w:gridCol w:w="8110"/>
        <w:gridCol w:w="496"/>
      </w:tblGrid>
      <w:tr w:rsidR="009712A0" w:rsidRPr="00772E03" w:rsidTr="00AB3FD4">
        <w:trPr>
          <w:trHeight w:val="290"/>
          <w:jc w:val="center"/>
        </w:trPr>
        <w:tc>
          <w:tcPr>
            <w:tcW w:w="8606" w:type="dxa"/>
            <w:gridSpan w:val="2"/>
            <w:tcBorders>
              <w:top w:val="single" w:sz="4" w:space="0" w:color="auto"/>
              <w:left w:val="single" w:sz="4" w:space="0" w:color="auto"/>
              <w:bottom w:val="single" w:sz="4" w:space="0" w:color="auto"/>
              <w:right w:val="single" w:sz="4" w:space="0" w:color="000000"/>
            </w:tcBorders>
            <w:shd w:val="clear" w:color="000000" w:fill="9BBB59"/>
            <w:noWrap/>
            <w:vAlign w:val="center"/>
            <w:hideMark/>
          </w:tcPr>
          <w:p w:rsidR="009712A0" w:rsidRPr="00772E03" w:rsidRDefault="009712A0" w:rsidP="009712A0">
            <w:pPr>
              <w:spacing w:after="0" w:line="240" w:lineRule="auto"/>
              <w:jc w:val="center"/>
              <w:rPr>
                <w:rFonts w:asciiTheme="minorHAnsi" w:eastAsia="Times New Roman" w:hAnsiTheme="minorHAnsi" w:cstheme="minorHAnsi"/>
                <w:b/>
                <w:bCs/>
                <w:lang w:eastAsia="es-MX" w:bidi="hi-IN"/>
              </w:rPr>
            </w:pPr>
            <w:r w:rsidRPr="00772E03">
              <w:rPr>
                <w:rFonts w:asciiTheme="minorHAnsi" w:eastAsia="Times New Roman" w:hAnsiTheme="minorHAnsi" w:cstheme="minorHAnsi"/>
                <w:b/>
                <w:bCs/>
                <w:lang w:eastAsia="es-MX" w:bidi="hi-IN"/>
              </w:rPr>
              <w:t>OTROS SERVICIOS EXCEPTO ACTIVIDADES DEL GOBIERNO</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TOTAL</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1501</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SERVICIOS DE REPARACION Y MANTENIMIENTO</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958</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DE AUTOMOVILES Y CAMIONES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553</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DE EQUIPO ELECTRONICO Y DE EQUIPO DE PRECISION</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112</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DE MAQUINARIA Y EQUIPO AGROPECUARIO, INDUSTRIAL, COMERCIAL</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62</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DE ARTICULOS PARA EL HOGAR Y PERSONALES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231</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SERVICIOS PERSONALES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501</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SALONES Y CLINICAS DE BELLEZA, BAÑOS PUBLICOS Y BOLERIAS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393</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LAVANDERIAS Y TINTORERIAS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77</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SERVICIOS FUNERARIOS Y ADMINISTRACION DE CEMENTERIOS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12</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ESTACIONAMIENTOS Y PENSIONES PARA AUTOMOVILES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5</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SERVICIOS DE REVELADO DE FOTOGRAFIAS Y OTROS SERVICIOS PERSONALES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14</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ASOCIACIONES Y ORGANIZACIONES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b/>
                <w:bCs/>
                <w:sz w:val="16"/>
                <w:szCs w:val="16"/>
                <w:lang w:eastAsia="es-MX" w:bidi="hi-IN"/>
              </w:rPr>
            </w:pPr>
            <w:r w:rsidRPr="00772E03">
              <w:rPr>
                <w:rFonts w:asciiTheme="minorHAnsi" w:eastAsia="Times New Roman" w:hAnsiTheme="minorHAnsi" w:cstheme="minorHAnsi"/>
                <w:b/>
                <w:bCs/>
                <w:sz w:val="16"/>
                <w:szCs w:val="16"/>
                <w:lang w:eastAsia="es-MX" w:bidi="hi-IN"/>
              </w:rPr>
              <w:t>42</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ASOCIACIONES Y ORGANIZACIONES COMERCIALES, LABORALES, PROFESIONALES Y RECREATIVAS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32</w:t>
            </w:r>
          </w:p>
        </w:tc>
      </w:tr>
      <w:tr w:rsidR="009712A0" w:rsidRPr="00772E03" w:rsidTr="00AB3FD4">
        <w:trPr>
          <w:trHeight w:val="290"/>
          <w:jc w:val="center"/>
        </w:trPr>
        <w:tc>
          <w:tcPr>
            <w:tcW w:w="8110" w:type="dxa"/>
            <w:tcBorders>
              <w:top w:val="nil"/>
              <w:left w:val="single" w:sz="4" w:space="0" w:color="auto"/>
              <w:bottom w:val="single" w:sz="4" w:space="0" w:color="auto"/>
              <w:right w:val="single" w:sz="4" w:space="0" w:color="auto"/>
            </w:tcBorders>
            <w:shd w:val="clear" w:color="000000" w:fill="C2D69A"/>
            <w:noWrap/>
            <w:vAlign w:val="center"/>
            <w:hideMark/>
          </w:tcPr>
          <w:p w:rsidR="009712A0" w:rsidRPr="00772E03" w:rsidRDefault="009712A0" w:rsidP="009712A0">
            <w:pPr>
              <w:spacing w:after="0" w:line="240" w:lineRule="auto"/>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ASOCIACIONES Y ORGANIZACIONES RELIGIOSAS, POLITICAS Y CIVILES</w:t>
            </w:r>
          </w:p>
        </w:tc>
        <w:tc>
          <w:tcPr>
            <w:tcW w:w="496" w:type="dxa"/>
            <w:tcBorders>
              <w:top w:val="nil"/>
              <w:left w:val="nil"/>
              <w:bottom w:val="single" w:sz="4" w:space="0" w:color="auto"/>
              <w:right w:val="single" w:sz="4" w:space="0" w:color="auto"/>
            </w:tcBorders>
            <w:shd w:val="clear" w:color="000000" w:fill="C2D69A"/>
            <w:noWrap/>
            <w:vAlign w:val="center"/>
            <w:hideMark/>
          </w:tcPr>
          <w:p w:rsidR="009712A0" w:rsidRPr="00772E03" w:rsidRDefault="009712A0" w:rsidP="002C01C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10</w:t>
            </w:r>
          </w:p>
        </w:tc>
      </w:tr>
    </w:tbl>
    <w:p w:rsidR="009712A0" w:rsidRPr="00772E03" w:rsidRDefault="009712A0" w:rsidP="009B1733">
      <w:pPr>
        <w:spacing w:line="360" w:lineRule="auto"/>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86" type="#_x0000_t202" style="position:absolute;left:0;text-align:left;margin-left:51.75pt;margin-top:224.7pt;width:240.05pt;height:13.8pt;z-index:251707392" strokecolor="white">
            <v:textbox style="mso-next-textbox:#_x0000_s1086">
              <w:txbxContent>
                <w:p w:rsidR="00912E32" w:rsidRPr="00DD5313" w:rsidRDefault="00912E32" w:rsidP="008C6C1B">
                  <w:pPr>
                    <w:spacing w:line="240" w:lineRule="auto"/>
                    <w:rPr>
                      <w:rFonts w:ascii="Arial" w:hAnsi="Arial" w:cs="Arial"/>
                    </w:rPr>
                  </w:pPr>
                  <w:r>
                    <w:rPr>
                      <w:rFonts w:ascii="Arial" w:hAnsi="Arial" w:cs="Arial"/>
                      <w:sz w:val="12"/>
                      <w:szCs w:val="12"/>
                    </w:rPr>
                    <w:t xml:space="preserve">Fuente: Elaborados con datos del </w:t>
                  </w:r>
                  <w:proofErr w:type="spellStart"/>
                  <w:r>
                    <w:rPr>
                      <w:rFonts w:ascii="Arial" w:hAnsi="Arial" w:cs="Arial"/>
                      <w:sz w:val="12"/>
                      <w:szCs w:val="12"/>
                    </w:rPr>
                    <w:t>Inegí</w:t>
                  </w:r>
                  <w:proofErr w:type="spellEnd"/>
                  <w:r>
                    <w:rPr>
                      <w:rFonts w:ascii="Arial" w:hAnsi="Arial" w:cs="Arial"/>
                      <w:sz w:val="12"/>
                      <w:szCs w:val="12"/>
                    </w:rPr>
                    <w:t>.</w:t>
                  </w:r>
                </w:p>
              </w:txbxContent>
            </v:textbox>
          </v:shape>
        </w:pict>
      </w:r>
      <w:r w:rsidR="009B1733" w:rsidRPr="00772E03">
        <w:rPr>
          <w:rFonts w:asciiTheme="minorHAnsi" w:hAnsiTheme="minorHAnsi" w:cstheme="minorHAnsi"/>
          <w:noProof/>
          <w:sz w:val="24"/>
          <w:szCs w:val="24"/>
          <w:lang w:eastAsia="es-MX"/>
        </w:rPr>
        <w:drawing>
          <wp:inline distT="0" distB="0" distL="0" distR="0">
            <wp:extent cx="4489508" cy="3016692"/>
            <wp:effectExtent l="57150" t="19050" r="82492" b="50358"/>
            <wp:docPr id="245" name="Gráfic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9B1733" w:rsidRPr="00772E03" w:rsidRDefault="009B1733" w:rsidP="009B1733">
      <w:pPr>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Dentro del sector servicios se encuentran, particularmente, la presencia de los servicios técnicos con 1,501 empresas  (el 13.7% del total); los servicios  de alojamiento temporal, es decir, servicios turísticos representado por 1,132 empresas (10.3% del total); los servicios profesionales, científicos y técnicos  con 691 empresas (6.3% del total); los servicios de salud y asistencia social con 455 empresas (4.1%) y los servicios  financieros, seguros e inmobiliarios y de alquiler con 364 empresas (3.3% del total).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manufacturero se encuentra en tercer lugar, ya que en el contribuyen un alto número de empresas, donde se ubica el 7.8% del total (862 empresas). Lo anterior significa que  el 96.5% de las empresas del municipio se ubican en el sector comercio, servicios y manufacturas.</w:t>
      </w:r>
    </w:p>
    <w:p w:rsidR="00F15EB4" w:rsidRPr="00772E03" w:rsidRDefault="00F15EB4" w:rsidP="009B1733">
      <w:pPr>
        <w:spacing w:line="360" w:lineRule="auto"/>
        <w:jc w:val="both"/>
        <w:rPr>
          <w:rFonts w:asciiTheme="minorHAnsi" w:hAnsiTheme="minorHAnsi" w:cstheme="minorHAnsi"/>
          <w:sz w:val="24"/>
          <w:szCs w:val="24"/>
        </w:rPr>
      </w:pPr>
    </w:p>
    <w:p w:rsidR="00F15EB4" w:rsidRPr="00772E03" w:rsidRDefault="00F15EB4"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p>
    <w:p w:rsidR="007A1AE0" w:rsidRDefault="007A1AE0" w:rsidP="009B1733">
      <w:pPr>
        <w:spacing w:line="360" w:lineRule="auto"/>
        <w:jc w:val="both"/>
        <w:rPr>
          <w:rFonts w:asciiTheme="minorHAnsi" w:hAnsiTheme="minorHAnsi" w:cstheme="minorHAnsi"/>
          <w:b/>
          <w:bCs/>
          <w:sz w:val="24"/>
          <w:szCs w:val="24"/>
        </w:rPr>
      </w:pPr>
    </w:p>
    <w:p w:rsidR="009B1733" w:rsidRPr="00772E03" w:rsidRDefault="009B1733" w:rsidP="009B1733">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lastRenderedPageBreak/>
        <w:t>El empleo sectorial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forma de distribución de la población ocupada en los diferentes sectores de la economía es uno de los aspectos fundamentales para observar las áreas de mayor relevancia para dicha economía.</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el municipio de Coatzacoalcos, observamos que la mayor proporción de la población ocupada se encuentra en los sectores del comercio y servicios, que en conjunto integran el 60% de la población ocupada de este municipio, que términos absolutos son 20 mil 449 personas en el sector comercio y 20 mil 094 en el de servicios. En tanto que el sector manufacturero posee el 25% (16 mil 579 personas). </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de la construcción representa el 8% (5 mil 573 personas) de las población ocupada del municipio, el sector  transportes, correos, almacenamiento e información el 5% (3 mil 603 personas) y el de electricidad, agua y gas el 1% (474 personas).</w:t>
      </w:r>
    </w:p>
    <w:p w:rsidR="009B1733" w:rsidRPr="00772E03" w:rsidRDefault="009B1733" w:rsidP="009B1733">
      <w:pPr>
        <w:spacing w:line="360" w:lineRule="auto"/>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drawing>
          <wp:inline distT="0" distB="0" distL="0" distR="0">
            <wp:extent cx="5218851" cy="3290549"/>
            <wp:effectExtent l="57150" t="19050" r="77049" b="62251"/>
            <wp:docPr id="246"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9B1733" w:rsidRPr="00772E03" w:rsidRDefault="009B1733" w:rsidP="009B1733">
      <w:pPr>
        <w:spacing w:line="360" w:lineRule="auto"/>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 xml:space="preserve">Otra forma de clasificar la población ocupada por sector es la realizada en el Censo General de Población y Vivienda, </w:t>
      </w:r>
      <w:proofErr w:type="spellStart"/>
      <w:r w:rsidRPr="00772E03">
        <w:rPr>
          <w:rFonts w:asciiTheme="minorHAnsi" w:hAnsiTheme="minorHAnsi" w:cstheme="minorHAnsi"/>
          <w:sz w:val="24"/>
          <w:szCs w:val="24"/>
        </w:rPr>
        <w:t>Inegí</w:t>
      </w:r>
      <w:proofErr w:type="spellEnd"/>
      <w:r w:rsidRPr="00772E03">
        <w:rPr>
          <w:rFonts w:asciiTheme="minorHAnsi" w:hAnsiTheme="minorHAnsi" w:cstheme="minorHAnsi"/>
          <w:sz w:val="24"/>
          <w:szCs w:val="24"/>
        </w:rPr>
        <w:t>. En esta clasificación se toman en cuenta  las actividades realizadas por el gobierno.</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sector de servicios comunales, sociales y personales es el que posee la mayor proporción de población ocupada, ya que representa el 32% del total de la población ocupada del municipio. </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del comercio, restaurantes y hoteles genera el 28% del total de empleos del municipio de Coatzacoalcos, la industria manufacturera representa el 17% de la población ocupada total, mientras que el sector de la construcción posee el 10% del total.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Transportes, almacenaje y comunicaciones genera el 8% del total de empleos del municipio y el sector  de la </w:t>
      </w:r>
      <w:r w:rsidR="00463DCA" w:rsidRPr="00772E03">
        <w:rPr>
          <w:rFonts w:asciiTheme="minorHAnsi" w:hAnsiTheme="minorHAnsi" w:cstheme="minorHAnsi"/>
          <w:sz w:val="24"/>
          <w:szCs w:val="24"/>
        </w:rPr>
        <w:t>minería</w:t>
      </w:r>
      <w:r w:rsidRPr="00772E03">
        <w:rPr>
          <w:rFonts w:asciiTheme="minorHAnsi" w:hAnsiTheme="minorHAnsi" w:cstheme="minorHAnsi"/>
          <w:sz w:val="24"/>
          <w:szCs w:val="24"/>
        </w:rPr>
        <w:t xml:space="preserve"> el 2% del total.</w:t>
      </w:r>
    </w:p>
    <w:p w:rsidR="009B1733" w:rsidRPr="00772E03" w:rsidRDefault="0029009B" w:rsidP="009B1733">
      <w:pPr>
        <w:spacing w:line="360" w:lineRule="auto"/>
        <w:jc w:val="center"/>
        <w:rPr>
          <w:rFonts w:asciiTheme="minorHAnsi" w:hAnsiTheme="minorHAnsi" w:cstheme="minorHAnsi"/>
          <w:b/>
          <w:bCs/>
          <w:sz w:val="24"/>
          <w:szCs w:val="24"/>
        </w:rPr>
      </w:pPr>
      <w:r w:rsidRPr="0029009B">
        <w:rPr>
          <w:rFonts w:asciiTheme="minorHAnsi" w:hAnsiTheme="minorHAnsi" w:cstheme="minorHAnsi"/>
          <w:noProof/>
          <w:sz w:val="24"/>
          <w:szCs w:val="24"/>
          <w:lang w:eastAsia="es-MX" w:bidi="hi-IN"/>
        </w:rPr>
        <w:pict>
          <v:shape id="_x0000_s1146" type="#_x0000_t202" style="position:absolute;left:0;text-align:left;margin-left:172.2pt;margin-top:258.95pt;width:231pt;height:17.65pt;z-index:251766784" fillcolor="white [3212]" stroked="f">
            <v:textbox>
              <w:txbxContent>
                <w:p w:rsidR="00912E32" w:rsidRPr="00365FE6" w:rsidRDefault="00912E32" w:rsidP="00AB3FD4">
                  <w:pPr>
                    <w:jc w:val="right"/>
                    <w:rPr>
                      <w:sz w:val="18"/>
                      <w:szCs w:val="18"/>
                    </w:rPr>
                  </w:pPr>
                  <w:r>
                    <w:rPr>
                      <w:sz w:val="18"/>
                      <w:szCs w:val="18"/>
                    </w:rPr>
                    <w:t>Fuente: Censo G</w:t>
                  </w:r>
                  <w:r w:rsidRPr="00383C67">
                    <w:rPr>
                      <w:sz w:val="18"/>
                      <w:szCs w:val="18"/>
                    </w:rPr>
                    <w:t>eneral</w:t>
                  </w:r>
                  <w:r>
                    <w:rPr>
                      <w:sz w:val="18"/>
                      <w:szCs w:val="18"/>
                    </w:rPr>
                    <w:t xml:space="preserve"> de Población y Vivienda, INEGI</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4945209" cy="3500591"/>
            <wp:effectExtent l="57150" t="19050" r="83991" b="61759"/>
            <wp:docPr id="247"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A40ECA" w:rsidRPr="00772E03" w:rsidRDefault="00A40ECA" w:rsidP="002B5326">
      <w:pPr>
        <w:spacing w:line="360" w:lineRule="auto"/>
        <w:jc w:val="both"/>
        <w:rPr>
          <w:rFonts w:asciiTheme="minorHAnsi" w:hAnsiTheme="minorHAnsi" w:cstheme="minorHAnsi"/>
          <w:sz w:val="24"/>
          <w:szCs w:val="24"/>
        </w:rPr>
      </w:pPr>
    </w:p>
    <w:p w:rsidR="002B5326" w:rsidRPr="00772E03" w:rsidRDefault="002B5326" w:rsidP="002B5326">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 xml:space="preserve">Haciendo una clasificación de la población ocupada, en base a los tres grandes sectores de actividad, es decir, el sector primario, secundario y terciario, podemos estimar que la mayor parte de la población se concentra en el </w:t>
      </w:r>
      <w:r w:rsidR="00927B82" w:rsidRPr="00772E03">
        <w:rPr>
          <w:rFonts w:asciiTheme="minorHAnsi" w:hAnsiTheme="minorHAnsi" w:cstheme="minorHAnsi"/>
          <w:sz w:val="24"/>
          <w:szCs w:val="24"/>
        </w:rPr>
        <w:t>sector secundario</w:t>
      </w:r>
      <w:r w:rsidRPr="00772E03">
        <w:rPr>
          <w:rFonts w:asciiTheme="minorHAnsi" w:hAnsiTheme="minorHAnsi" w:cstheme="minorHAnsi"/>
          <w:sz w:val="24"/>
          <w:szCs w:val="24"/>
        </w:rPr>
        <w:t xml:space="preserve"> con </w:t>
      </w:r>
      <w:r w:rsidR="00927B82" w:rsidRPr="00772E03">
        <w:rPr>
          <w:rFonts w:asciiTheme="minorHAnsi" w:hAnsiTheme="minorHAnsi" w:cstheme="minorHAnsi"/>
          <w:sz w:val="24"/>
          <w:szCs w:val="24"/>
        </w:rPr>
        <w:t>42</w:t>
      </w:r>
      <w:r w:rsidRPr="00772E03">
        <w:rPr>
          <w:rFonts w:asciiTheme="minorHAnsi" w:hAnsiTheme="minorHAnsi" w:cstheme="minorHAnsi"/>
          <w:sz w:val="24"/>
          <w:szCs w:val="24"/>
        </w:rPr>
        <w:t xml:space="preserve"> mil </w:t>
      </w:r>
      <w:r w:rsidR="00927B82" w:rsidRPr="00772E03">
        <w:rPr>
          <w:rFonts w:asciiTheme="minorHAnsi" w:hAnsiTheme="minorHAnsi" w:cstheme="minorHAnsi"/>
          <w:sz w:val="24"/>
          <w:szCs w:val="24"/>
        </w:rPr>
        <w:t>601</w:t>
      </w:r>
      <w:r w:rsidRPr="00772E03">
        <w:rPr>
          <w:rFonts w:asciiTheme="minorHAnsi" w:hAnsiTheme="minorHAnsi" w:cstheme="minorHAnsi"/>
          <w:sz w:val="24"/>
          <w:szCs w:val="24"/>
        </w:rPr>
        <w:t xml:space="preserve"> personas</w:t>
      </w:r>
      <w:r w:rsidR="00927B82" w:rsidRPr="00772E03">
        <w:rPr>
          <w:rFonts w:asciiTheme="minorHAnsi" w:hAnsiTheme="minorHAnsi" w:cstheme="minorHAnsi"/>
          <w:sz w:val="24"/>
          <w:szCs w:val="24"/>
        </w:rPr>
        <w:t>, el cual incluye actividades de la industria manufacturera, construcción y el comercio.</w:t>
      </w:r>
    </w:p>
    <w:p w:rsidR="002B5326" w:rsidRPr="00772E03" w:rsidRDefault="002B5326" w:rsidP="002B5326">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sector </w:t>
      </w:r>
      <w:r w:rsidR="00927B82" w:rsidRPr="00772E03">
        <w:rPr>
          <w:rFonts w:asciiTheme="minorHAnsi" w:hAnsiTheme="minorHAnsi" w:cstheme="minorHAnsi"/>
          <w:sz w:val="24"/>
          <w:szCs w:val="24"/>
        </w:rPr>
        <w:t>terciario</w:t>
      </w:r>
      <w:r w:rsidRPr="00772E03">
        <w:rPr>
          <w:rFonts w:asciiTheme="minorHAnsi" w:hAnsiTheme="minorHAnsi" w:cstheme="minorHAnsi"/>
          <w:sz w:val="24"/>
          <w:szCs w:val="24"/>
        </w:rPr>
        <w:t xml:space="preserve">, </w:t>
      </w:r>
      <w:r w:rsidR="00927B82" w:rsidRPr="00772E03">
        <w:rPr>
          <w:rFonts w:asciiTheme="minorHAnsi" w:hAnsiTheme="minorHAnsi" w:cstheme="minorHAnsi"/>
          <w:sz w:val="24"/>
          <w:szCs w:val="24"/>
        </w:rPr>
        <w:t xml:space="preserve">representa el 36%, es decir </w:t>
      </w:r>
      <w:r w:rsidR="00AB3FD4" w:rsidRPr="00772E03">
        <w:rPr>
          <w:rFonts w:asciiTheme="minorHAnsi" w:hAnsiTheme="minorHAnsi" w:cstheme="minorHAnsi"/>
          <w:sz w:val="24"/>
          <w:szCs w:val="24"/>
        </w:rPr>
        <w:t>24</w:t>
      </w:r>
      <w:r w:rsidR="00927B82" w:rsidRPr="00772E03">
        <w:rPr>
          <w:rFonts w:asciiTheme="minorHAnsi" w:hAnsiTheme="minorHAnsi" w:cstheme="minorHAnsi"/>
          <w:sz w:val="24"/>
          <w:szCs w:val="24"/>
        </w:rPr>
        <w:t xml:space="preserve"> mil 1</w:t>
      </w:r>
      <w:r w:rsidR="00AB3FD4" w:rsidRPr="00772E03">
        <w:rPr>
          <w:rFonts w:asciiTheme="minorHAnsi" w:hAnsiTheme="minorHAnsi" w:cstheme="minorHAnsi"/>
          <w:sz w:val="24"/>
          <w:szCs w:val="24"/>
        </w:rPr>
        <w:t>71</w:t>
      </w:r>
      <w:r w:rsidRPr="00772E03">
        <w:rPr>
          <w:rFonts w:asciiTheme="minorHAnsi" w:hAnsiTheme="minorHAnsi" w:cstheme="minorHAnsi"/>
          <w:sz w:val="24"/>
          <w:szCs w:val="24"/>
        </w:rPr>
        <w:t xml:space="preserve"> personas, </w:t>
      </w:r>
      <w:r w:rsidR="00AB3FD4" w:rsidRPr="00772E03">
        <w:rPr>
          <w:rFonts w:asciiTheme="minorHAnsi" w:hAnsiTheme="minorHAnsi" w:cstheme="minorHAnsi"/>
          <w:sz w:val="24"/>
          <w:szCs w:val="24"/>
        </w:rPr>
        <w:t xml:space="preserve">es preciso mencionar que este sector se compone de los servicios; </w:t>
      </w:r>
      <w:r w:rsidRPr="00772E03">
        <w:rPr>
          <w:rFonts w:asciiTheme="minorHAnsi" w:hAnsiTheme="minorHAnsi" w:cstheme="minorHAnsi"/>
          <w:sz w:val="24"/>
          <w:szCs w:val="24"/>
        </w:rPr>
        <w:t>mientras que el sector primario, integrado po</w:t>
      </w:r>
      <w:r w:rsidR="00AB3FD4" w:rsidRPr="00772E03">
        <w:rPr>
          <w:rFonts w:asciiTheme="minorHAnsi" w:hAnsiTheme="minorHAnsi" w:cstheme="minorHAnsi"/>
          <w:sz w:val="24"/>
          <w:szCs w:val="24"/>
        </w:rPr>
        <w:t>r las actividades agropecuarias y mineras</w:t>
      </w:r>
      <w:r w:rsidRPr="00772E03">
        <w:rPr>
          <w:rFonts w:asciiTheme="minorHAnsi" w:hAnsiTheme="minorHAnsi" w:cstheme="minorHAnsi"/>
          <w:sz w:val="24"/>
          <w:szCs w:val="24"/>
        </w:rPr>
        <w:t xml:space="preserve"> represen</w:t>
      </w:r>
      <w:r w:rsidR="00AB3FD4" w:rsidRPr="00772E03">
        <w:rPr>
          <w:rFonts w:asciiTheme="minorHAnsi" w:hAnsiTheme="minorHAnsi" w:cstheme="minorHAnsi"/>
          <w:sz w:val="24"/>
          <w:szCs w:val="24"/>
        </w:rPr>
        <w:t>ta solo el 1%, con 532</w:t>
      </w:r>
      <w:r w:rsidRPr="00772E03">
        <w:rPr>
          <w:rFonts w:asciiTheme="minorHAnsi" w:hAnsiTheme="minorHAnsi" w:cstheme="minorHAnsi"/>
          <w:sz w:val="24"/>
          <w:szCs w:val="24"/>
        </w:rPr>
        <w:t xml:space="preserve"> personas.</w:t>
      </w:r>
    </w:p>
    <w:p w:rsidR="00BB16F4" w:rsidRPr="00772E03" w:rsidRDefault="0029009B" w:rsidP="002B5326">
      <w:pPr>
        <w:jc w:val="center"/>
        <w:rPr>
          <w:rFonts w:asciiTheme="minorHAnsi" w:hAnsiTheme="minorHAnsi" w:cstheme="minorHAnsi"/>
          <w:b/>
          <w:bCs/>
          <w:sz w:val="24"/>
          <w:szCs w:val="24"/>
        </w:rPr>
      </w:pPr>
      <w:r>
        <w:rPr>
          <w:rFonts w:asciiTheme="minorHAnsi" w:hAnsiTheme="minorHAnsi" w:cstheme="minorHAnsi"/>
          <w:b/>
          <w:bCs/>
          <w:noProof/>
          <w:sz w:val="24"/>
          <w:szCs w:val="24"/>
          <w:lang w:eastAsia="es-MX" w:bidi="hi-IN"/>
        </w:rPr>
        <w:pict>
          <v:shape id="_x0000_s1147" type="#_x0000_t202" style="position:absolute;left:0;text-align:left;margin-left:160.2pt;margin-top:200.85pt;width:231pt;height:18.15pt;z-index:251767808" fillcolor="white [3212]" stroked="f">
            <v:textbox>
              <w:txbxContent>
                <w:p w:rsidR="00912E32" w:rsidRPr="00365FE6" w:rsidRDefault="00912E32" w:rsidP="00AB3FD4">
                  <w:pPr>
                    <w:jc w:val="right"/>
                    <w:rPr>
                      <w:sz w:val="18"/>
                      <w:szCs w:val="18"/>
                    </w:rPr>
                  </w:pPr>
                  <w:r>
                    <w:rPr>
                      <w:sz w:val="18"/>
                      <w:szCs w:val="18"/>
                    </w:rPr>
                    <w:t>Fuente: Censo G</w:t>
                  </w:r>
                  <w:r w:rsidRPr="00383C67">
                    <w:rPr>
                      <w:sz w:val="18"/>
                      <w:szCs w:val="18"/>
                    </w:rPr>
                    <w:t>eneral</w:t>
                  </w:r>
                  <w:r>
                    <w:rPr>
                      <w:sz w:val="18"/>
                      <w:szCs w:val="18"/>
                    </w:rPr>
                    <w:t xml:space="preserve"> de Población y Vivienda, INEGI</w:t>
                  </w:r>
                </w:p>
              </w:txbxContent>
            </v:textbox>
          </v:shape>
        </w:pict>
      </w:r>
      <w:r w:rsidR="002B5326" w:rsidRPr="00772E03">
        <w:rPr>
          <w:rFonts w:asciiTheme="minorHAnsi" w:hAnsiTheme="minorHAnsi" w:cstheme="minorHAnsi"/>
          <w:b/>
          <w:bCs/>
          <w:noProof/>
          <w:sz w:val="24"/>
          <w:szCs w:val="24"/>
          <w:lang w:eastAsia="es-MX"/>
        </w:rPr>
        <w:drawing>
          <wp:inline distT="0" distB="0" distL="0" distR="0">
            <wp:extent cx="4572000" cy="2743200"/>
            <wp:effectExtent l="57150" t="38100" r="95250" b="57150"/>
            <wp:docPr id="9"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BB16F4" w:rsidRPr="00772E03" w:rsidRDefault="00BB16F4" w:rsidP="009B1733">
      <w:pPr>
        <w:rPr>
          <w:rFonts w:asciiTheme="minorHAnsi" w:hAnsiTheme="minorHAnsi" w:cstheme="minorHAnsi"/>
          <w:b/>
          <w:bCs/>
          <w:sz w:val="24"/>
          <w:szCs w:val="24"/>
        </w:rPr>
      </w:pPr>
    </w:p>
    <w:p w:rsidR="009B1733" w:rsidRPr="00772E03" w:rsidRDefault="009B1733" w:rsidP="009B1733">
      <w:pPr>
        <w:rPr>
          <w:rFonts w:asciiTheme="minorHAnsi" w:hAnsiTheme="minorHAnsi" w:cstheme="minorHAnsi"/>
          <w:b/>
          <w:bCs/>
          <w:sz w:val="24"/>
          <w:szCs w:val="24"/>
        </w:rPr>
      </w:pPr>
      <w:r w:rsidRPr="00772E03">
        <w:rPr>
          <w:rFonts w:asciiTheme="minorHAnsi" w:hAnsiTheme="minorHAnsi" w:cstheme="minorHAnsi"/>
          <w:b/>
          <w:bCs/>
          <w:sz w:val="24"/>
          <w:szCs w:val="24"/>
        </w:rPr>
        <w:t>Composición del PIBM</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de los Servicios financieros representa la actividad más importante ya que contribuye con el 23.2% del PIB municipal; en segundo lugar se encuentra el sector Comercio, restaurantes y hoteles con el 18.5% y la sector manufacturero con el 19.4%. Sin embargo estos sectores es en donde se concentra una mayor participación del PIBM, mientras que los Servicios comunales, sociales y personales tienen una participación de 16.2%.</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menor medida contribuyen los sectores transporte, almacenaje y comunicaciones con un 13%, la Construcción con el 5.8%, Electricidad, agua y gas con el 2.3%, la Minería con el 1.2% y el sector Agropecuario con un 0.3%.</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88" type="#_x0000_t202" style="position:absolute;left:0;text-align:left;margin-left:19.5pt;margin-top:238.2pt;width:240.05pt;height:13.8pt;z-index:251709440" strokecolor="white">
            <v:textbox style="mso-next-textbox:#_x0000_s1088">
              <w:txbxContent>
                <w:p w:rsidR="00912E32" w:rsidRPr="00DD5313" w:rsidRDefault="00912E32" w:rsidP="008C6C1B">
                  <w:pPr>
                    <w:spacing w:line="240" w:lineRule="auto"/>
                    <w:rPr>
                      <w:rFonts w:ascii="Arial" w:hAnsi="Arial" w:cs="Arial"/>
                    </w:rPr>
                  </w:pPr>
                  <w:r>
                    <w:rPr>
                      <w:rFonts w:ascii="Arial" w:hAnsi="Arial" w:cs="Arial"/>
                      <w:sz w:val="12"/>
                      <w:szCs w:val="12"/>
                    </w:rPr>
                    <w:t>Fuente: Censos Económicos. 2000.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297184" cy="3186423"/>
            <wp:effectExtent l="57150" t="19050" r="74916" b="52077"/>
            <wp:docPr id="248" name="Gráfico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8C6C1B" w:rsidRPr="00772E03" w:rsidRDefault="008C6C1B"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Es importante destacar la participación que tiene el municipio de Coatzacoalcos en el sector manufacturera con un 27.1%, este porcentaje coloca a Coatzacoalcos en el primer lugar a nivel Estatal; en segundo lugar se encuentra Ixtaczoquitlán con el 14.5% y en tercer lugar Veracruz con 12.1% del valor de la producción estatal.</w:t>
      </w:r>
    </w:p>
    <w:p w:rsidR="008C6C1B" w:rsidRPr="00772E03" w:rsidRDefault="008C6C1B" w:rsidP="009B1733">
      <w:pPr>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89" type="#_x0000_t202" style="position:absolute;left:0;text-align:left;margin-left:45.6pt;margin-top:194pt;width:240.05pt;height:13.8pt;z-index:251710464" strokecolor="white">
            <v:textbox style="mso-next-textbox:#_x0000_s1089">
              <w:txbxContent>
                <w:p w:rsidR="00912E32" w:rsidRPr="00DD5313" w:rsidRDefault="00912E32" w:rsidP="008C6C1B">
                  <w:pPr>
                    <w:spacing w:line="240" w:lineRule="auto"/>
                    <w:rPr>
                      <w:rFonts w:ascii="Arial" w:hAnsi="Arial" w:cs="Arial"/>
                    </w:rPr>
                  </w:pPr>
                  <w:r>
                    <w:rPr>
                      <w:rFonts w:ascii="Arial" w:hAnsi="Arial" w:cs="Arial"/>
                      <w:sz w:val="12"/>
                      <w:szCs w:val="12"/>
                    </w:rPr>
                    <w:t>Fuente: Censos Económicos. 2004.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619672" cy="2630147"/>
            <wp:effectExtent l="57150" t="19050" r="85678" b="55903"/>
            <wp:docPr id="249"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463DCA" w:rsidRPr="00772E03" w:rsidRDefault="00463DCA" w:rsidP="009B1733">
      <w:pPr>
        <w:spacing w:line="360" w:lineRule="auto"/>
        <w:rPr>
          <w:rFonts w:asciiTheme="minorHAnsi" w:hAnsiTheme="minorHAnsi" w:cstheme="minorHAnsi"/>
          <w:b/>
          <w:bCs/>
          <w:sz w:val="24"/>
          <w:szCs w:val="24"/>
        </w:rPr>
      </w:pPr>
    </w:p>
    <w:p w:rsidR="00463DCA" w:rsidRPr="00772E03" w:rsidRDefault="00463DCA" w:rsidP="009B1733">
      <w:pPr>
        <w:spacing w:line="360" w:lineRule="auto"/>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Las remuneraciones salariales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participa con el 16.5% del total de las remuneraciones pagadas a los trabajadores en el estado de Veracruz, este municipio se encuentra entre los primeros lugares de aportación en materia de remuneraciones salariales, aunque la proporción de empleados que tiene 9% del total estatal, lo cual expresa remuneraciones relativamente altas, por lo que el municipio se encuentra en segundo lugar a nivel estatal.</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23" type="#_x0000_t202" style="position:absolute;left:0;text-align:left;margin-left:315.2pt;margin-top:225.85pt;width:79.5pt;height:21pt;z-index:251746304" stroked="f">
            <v:textbox style="mso-next-textbox:#_x0000_s1123">
              <w:txbxContent>
                <w:p w:rsidR="00912E32" w:rsidRPr="00AD167E" w:rsidRDefault="00912E32" w:rsidP="008C6C1B">
                  <w:pPr>
                    <w:rPr>
                      <w:sz w:val="18"/>
                      <w:szCs w:val="18"/>
                    </w:rPr>
                  </w:pPr>
                  <w:r w:rsidRPr="00AD167E">
                    <w:rPr>
                      <w:sz w:val="18"/>
                      <w:szCs w:val="18"/>
                    </w:rPr>
                    <w:t>Fuente: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857750" cy="3590925"/>
            <wp:effectExtent l="19050" t="0" r="19050" b="9525"/>
            <wp:docPr id="250"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9B1733" w:rsidRPr="00772E03" w:rsidRDefault="009B1733" w:rsidP="009B1733">
      <w:pPr>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Coatzacoalcos ocupa en 6° lugar en cuanto a su nivel de remuneraciones por persona ocupada. Por tanto, el monto de las remuneraciones promedio por persona para el total de la economía en municipal es de 79 mil 517 pesos, lo cual es un promedio alto comparado con el promedio estatal, que es de 43 mil 794 pesos, y propicia un superávit de 35 mil 723 pesos, esto significa, la diferencia entre el valor de las remuneraciones por persona a nivel municipal y el promedio a nivel estatal.</w:t>
      </w:r>
    </w:p>
    <w:p w:rsidR="009B1733" w:rsidRPr="00772E03" w:rsidRDefault="0029009B" w:rsidP="009B1733">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lastRenderedPageBreak/>
        <w:pict>
          <v:shape id="_x0000_s1124" type="#_x0000_t202" style="position:absolute;left:0;text-align:left;margin-left:235.9pt;margin-top:309.35pt;width:151.4pt;height:18.4pt;z-index:251747328" stroked="f">
            <v:textbox style="mso-next-textbox:#_x0000_s1124">
              <w:txbxContent>
                <w:p w:rsidR="00912E32" w:rsidRPr="00C8253F" w:rsidRDefault="00912E32" w:rsidP="00C8253F">
                  <w:pPr>
                    <w:jc w:val="right"/>
                    <w:rPr>
                      <w:sz w:val="16"/>
                      <w:szCs w:val="16"/>
                    </w:rPr>
                  </w:pPr>
                  <w:r w:rsidRPr="00C8253F">
                    <w:rPr>
                      <w:sz w:val="16"/>
                      <w:szCs w:val="16"/>
                    </w:rPr>
                    <w:t>Fuente: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460902" cy="4149617"/>
            <wp:effectExtent l="57150" t="19050" r="72998" b="60433"/>
            <wp:docPr id="251"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Remuneraciones por sector productivo</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Dentro de la estructura económica municipal existe una participación distinta de cada sector productivo en el total de las remuneraciones municipales, debido a la diferenciada productividad del trabajo, el nivel salarial y el volumen de empleo en cada uno de ellos.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Así, el sector que concentra el mayor monto de remuneraciones al trabajo es la Minería: 348 mil 333 pesos; en segundo lugar se encuentra la industria manufacturera con 237 mil 202 pesos y en tercer lugar se ubica la Electricidad, agua y gas con 100 mil 238 pesos, las cantidades anteriores son superior a la que refleja el promedio municipal que es: 79 mil 517 pesos.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Como bien sabemos Coatzacoalcos se caracteriza por ser una zona portuaria y es de trascendencia industrial, comercial y de servicios. Es por eso que en los datos anteriores vemos reflejada la importancia económica que lo constituye.</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090" type="#_x0000_t202" style="position:absolute;left:0;text-align:left;margin-left:239.3pt;margin-top:297.1pt;width:165.05pt;height:18.65pt;z-index:251711488" strokecolor="white">
            <v:textbox style="mso-next-textbox:#_x0000_s1090">
              <w:txbxContent>
                <w:p w:rsidR="00912E32" w:rsidRPr="00C8253F" w:rsidRDefault="00912E32" w:rsidP="00C8253F">
                  <w:pPr>
                    <w:spacing w:after="0" w:line="240" w:lineRule="auto"/>
                    <w:jc w:val="right"/>
                    <w:rPr>
                      <w:rFonts w:ascii="Arial" w:hAnsi="Arial" w:cs="Arial"/>
                      <w:sz w:val="16"/>
                      <w:szCs w:val="16"/>
                    </w:rPr>
                  </w:pPr>
                  <w:r w:rsidRPr="00C8253F">
                    <w:rPr>
                      <w:rFonts w:ascii="Arial" w:hAnsi="Arial" w:cs="Arial"/>
                      <w:sz w:val="16"/>
                      <w:szCs w:val="16"/>
                    </w:rPr>
                    <w:t>F</w:t>
                  </w:r>
                  <w:r>
                    <w:rPr>
                      <w:rFonts w:ascii="Arial" w:hAnsi="Arial" w:cs="Arial"/>
                      <w:sz w:val="16"/>
                      <w:szCs w:val="16"/>
                    </w:rPr>
                    <w:t>uente: Elaborados con datos del INEGI</w:t>
                  </w:r>
                  <w:r w:rsidRPr="00C8253F">
                    <w:rPr>
                      <w:rFonts w:ascii="Arial" w:hAnsi="Arial" w:cs="Arial"/>
                      <w:sz w:val="16"/>
                      <w:szCs w:val="16"/>
                    </w:rPr>
                    <w:t>.</w:t>
                  </w:r>
                </w:p>
              </w:txbxContent>
            </v:textbox>
          </v:shape>
        </w:pict>
      </w:r>
      <w:r w:rsidR="009B1733" w:rsidRPr="00772E03">
        <w:rPr>
          <w:rFonts w:asciiTheme="minorHAnsi" w:hAnsiTheme="minorHAnsi" w:cstheme="minorHAnsi"/>
          <w:noProof/>
          <w:sz w:val="24"/>
          <w:szCs w:val="24"/>
          <w:lang w:eastAsia="es-MX"/>
        </w:rPr>
        <w:drawing>
          <wp:inline distT="0" distB="0" distL="0" distR="0">
            <wp:extent cx="4850769" cy="4012345"/>
            <wp:effectExtent l="57150" t="19050" r="83181" b="64355"/>
            <wp:docPr id="252" name="Gráfico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9B1733" w:rsidRPr="00772E03" w:rsidRDefault="009B1733" w:rsidP="009B1733">
      <w:pPr>
        <w:spacing w:line="360" w:lineRule="auto"/>
        <w:rPr>
          <w:rFonts w:asciiTheme="minorHAnsi" w:hAnsiTheme="minorHAnsi" w:cstheme="minorHAnsi"/>
          <w:sz w:val="24"/>
          <w:szCs w:val="24"/>
        </w:rPr>
      </w:pPr>
    </w:p>
    <w:p w:rsidR="009B1733" w:rsidRPr="00772E03" w:rsidRDefault="009B1733" w:rsidP="00463DCA">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Sin embargo, los sectores que su remuneración se encuentra por debajo de la media municipal son: el sector agrícola (5 mil 411 pesos); es cual presenta un déficit de 74 mil 106 pesos, los servicios de salud y asistencia social  (10 mil 970 pesos); con un déficit de 68 mil 547 pesos y  el sector de la Construcción (15 mil 462 pesos) presenta un déficit de 64 mil 055 pesos.</w:t>
      </w:r>
    </w:p>
    <w:p w:rsidR="009B1733" w:rsidRPr="00772E03" w:rsidRDefault="009B1733" w:rsidP="00463DCA">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Entre los sectores analizados los que presentan un Superávit son tres, la Minería con 268 mil 816 pesos, la industria manufacturera un superávit de 157 mil 685 pesos y, la Electricidad, agua y gas tiene un superávit de 20 mil 721 pesos.</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91" type="#_x0000_t202" style="position:absolute;left:0;text-align:left;margin-left:273.7pt;margin-top:249.95pt;width:129.35pt;height:13.8pt;z-index:251712512" strokecolor="white">
            <v:textbox style="mso-next-textbox:#_x0000_s1091">
              <w:txbxContent>
                <w:p w:rsidR="00912E32" w:rsidRPr="00DD5313" w:rsidRDefault="00912E32" w:rsidP="00C8253F">
                  <w:pPr>
                    <w:spacing w:line="240" w:lineRule="auto"/>
                    <w:jc w:val="right"/>
                    <w:rPr>
                      <w:rFonts w:ascii="Arial" w:hAnsi="Arial" w:cs="Arial"/>
                    </w:rPr>
                  </w:pPr>
                  <w:r>
                    <w:rPr>
                      <w:rFonts w:ascii="Arial" w:hAnsi="Arial" w:cs="Arial"/>
                      <w:sz w:val="12"/>
                      <w:szCs w:val="12"/>
                    </w:rPr>
                    <w:t>Fuente: Elaborados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819650" cy="3339345"/>
            <wp:effectExtent l="57150" t="19050" r="76200" b="51555"/>
            <wp:docPr id="253"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La productividad del trabajo</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Coatzacoalcos la productividad del trabajo</w:t>
      </w:r>
      <w:r w:rsidR="00C8253F" w:rsidRPr="00772E03">
        <w:rPr>
          <w:rStyle w:val="Refdenotaalpie"/>
          <w:rFonts w:asciiTheme="minorHAnsi" w:hAnsiTheme="minorHAnsi" w:cstheme="minorHAnsi"/>
        </w:rPr>
        <w:footnoteReference w:id="4"/>
      </w:r>
      <w:r w:rsidRPr="00772E03">
        <w:rPr>
          <w:rFonts w:asciiTheme="minorHAnsi" w:hAnsiTheme="minorHAnsi" w:cstheme="minorHAnsi"/>
          <w:sz w:val="24"/>
          <w:szCs w:val="24"/>
        </w:rPr>
        <w:t xml:space="preserve"> es alta y esto representa que las remuneraciones para este municipio sigan manteniéndose, es decir, que el personal ocupado siga trabajando en los diferentes sectores y se vea reflejada la aportación de cada unidad de trabajo que realizan.</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092" type="#_x0000_t202" style="position:absolute;left:0;text-align:left;margin-left:260.75pt;margin-top:356.25pt;width:138.1pt;height:13.8pt;z-index:251713536" strokecolor="white">
            <v:textbox style="mso-next-textbox:#_x0000_s1092">
              <w:txbxContent>
                <w:p w:rsidR="00912E32" w:rsidRPr="00DD5313" w:rsidRDefault="00912E32" w:rsidP="00C8253F">
                  <w:pPr>
                    <w:spacing w:line="240" w:lineRule="auto"/>
                    <w:rPr>
                      <w:rFonts w:ascii="Arial" w:hAnsi="Arial" w:cs="Arial"/>
                    </w:rPr>
                  </w:pPr>
                  <w:r>
                    <w:rPr>
                      <w:rFonts w:ascii="Arial" w:hAnsi="Arial" w:cs="Arial"/>
                      <w:sz w:val="12"/>
                      <w:szCs w:val="12"/>
                    </w:rPr>
                    <w:t>Fuente: Elaborados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761985" cy="4692256"/>
            <wp:effectExtent l="57150" t="19050" r="76715" b="51194"/>
            <wp:docPr id="254" name="Gráfic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9B1733" w:rsidRPr="00772E03" w:rsidRDefault="009B1733" w:rsidP="009B1733">
      <w:pPr>
        <w:rPr>
          <w:rFonts w:asciiTheme="minorHAnsi" w:hAnsiTheme="minorHAnsi" w:cstheme="minorHAnsi"/>
          <w:sz w:val="24"/>
          <w:szCs w:val="24"/>
        </w:rPr>
      </w:pPr>
    </w:p>
    <w:p w:rsidR="009B1733" w:rsidRPr="00772E03" w:rsidRDefault="009B1733" w:rsidP="009B1733">
      <w:pPr>
        <w:spacing w:line="360" w:lineRule="auto"/>
        <w:rPr>
          <w:rFonts w:asciiTheme="minorHAnsi" w:hAnsiTheme="minorHAnsi" w:cstheme="minorHAnsi"/>
          <w:sz w:val="24"/>
          <w:szCs w:val="24"/>
        </w:rPr>
      </w:pPr>
      <w:r w:rsidRPr="00772E03">
        <w:rPr>
          <w:rFonts w:asciiTheme="minorHAnsi" w:hAnsiTheme="minorHAnsi" w:cstheme="minorHAnsi"/>
          <w:sz w:val="24"/>
          <w:szCs w:val="24"/>
        </w:rPr>
        <w:t>Este indicador alcanza un valor de 217 mil 637 pesos, que es significativamente alto comparado con la productividad promedio a nivel estatal, que es de 145 mil 467 pesos, y es bajo, también, es importante destacar que si se compara con el resto de los municipios Coatzacoalcos ocupa el 12° lugar.</w:t>
      </w:r>
    </w:p>
    <w:p w:rsidR="009B1733" w:rsidRPr="00772E03" w:rsidRDefault="0029009B" w:rsidP="009B1733">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lastRenderedPageBreak/>
        <w:pict>
          <v:shape id="_x0000_s1093" type="#_x0000_t202" style="position:absolute;left:0;text-align:left;margin-left:283.95pt;margin-top:356.55pt;width:125.9pt;height:13.8pt;z-index:251714560" strokecolor="white">
            <v:textbox style="mso-next-textbox:#_x0000_s1093">
              <w:txbxContent>
                <w:p w:rsidR="00912E32" w:rsidRPr="00DD5313" w:rsidRDefault="00912E32" w:rsidP="00C8253F">
                  <w:pPr>
                    <w:spacing w:line="240" w:lineRule="auto"/>
                    <w:rPr>
                      <w:rFonts w:ascii="Arial" w:hAnsi="Arial" w:cs="Arial"/>
                    </w:rPr>
                  </w:pPr>
                  <w:r>
                    <w:rPr>
                      <w:rFonts w:ascii="Arial" w:hAnsi="Arial" w:cs="Arial"/>
                      <w:sz w:val="12"/>
                      <w:szCs w:val="12"/>
                    </w:rPr>
                    <w:t>Fuente: Elaborados con datos del INEGI.</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4950460" cy="4705350"/>
            <wp:effectExtent l="57150" t="19050" r="78740" b="57150"/>
            <wp:docPr id="256" name="Gráfic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009B1733" w:rsidRPr="00772E03">
        <w:rPr>
          <w:rFonts w:asciiTheme="minorHAnsi" w:hAnsiTheme="minorHAnsi" w:cstheme="minorHAnsi"/>
          <w:sz w:val="24"/>
          <w:szCs w:val="24"/>
        </w:rPr>
        <w:br w:type="textWrapping" w:clear="all"/>
      </w: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spacing w:line="360" w:lineRule="auto"/>
        <w:jc w:val="both"/>
        <w:rPr>
          <w:rFonts w:asciiTheme="minorHAnsi" w:hAnsiTheme="minorHAnsi" w:cstheme="minorHAnsi"/>
          <w:b/>
          <w:sz w:val="24"/>
          <w:szCs w:val="24"/>
        </w:rPr>
      </w:pPr>
      <w:r w:rsidRPr="00772E03">
        <w:rPr>
          <w:rFonts w:asciiTheme="minorHAnsi" w:hAnsiTheme="minorHAnsi" w:cstheme="minorHAnsi"/>
          <w:b/>
          <w:sz w:val="24"/>
          <w:szCs w:val="24"/>
        </w:rPr>
        <w:t>La productividad del trabajo por sector</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productividad es un factor muy importante y podemos observar como en Coatzacoalcos la Industria Manufacturera es la que representa mayor crecimiento productivo con 620.96; sin embargo, el sector que no ha adquirido mucha productividad es la Agricultura, Ganadería y los aprovechamientos Forestales que juntas solo obtienen un 9.55 de productividad en el municipio.</w:t>
      </w:r>
    </w:p>
    <w:p w:rsidR="009B1733" w:rsidRPr="00772E03" w:rsidRDefault="0029009B" w:rsidP="009B1733">
      <w:pPr>
        <w:jc w:val="center"/>
        <w:rPr>
          <w:rFonts w:asciiTheme="minorHAnsi" w:hAnsiTheme="minorHAnsi" w:cstheme="minorHAnsi"/>
          <w:b/>
          <w:bCs/>
          <w:sz w:val="24"/>
          <w:szCs w:val="24"/>
        </w:rPr>
      </w:pPr>
      <w:r>
        <w:rPr>
          <w:rFonts w:asciiTheme="minorHAnsi" w:hAnsiTheme="minorHAnsi" w:cstheme="minorHAnsi"/>
          <w:b/>
          <w:bCs/>
          <w:noProof/>
          <w:sz w:val="24"/>
          <w:szCs w:val="24"/>
          <w:lang w:eastAsia="es-MX" w:bidi="hi-IN"/>
        </w:rPr>
        <w:lastRenderedPageBreak/>
        <w:pict>
          <v:shape id="_x0000_s1125" type="#_x0000_t202" style="position:absolute;left:0;text-align:left;margin-left:254.15pt;margin-top:211.05pt;width:125.9pt;height:13.8pt;z-index:251748352" strokecolor="white">
            <v:textbox style="mso-next-textbox:#_x0000_s1125">
              <w:txbxContent>
                <w:p w:rsidR="00912E32" w:rsidRPr="00DD5313" w:rsidRDefault="00912E32" w:rsidP="00096645">
                  <w:pPr>
                    <w:spacing w:line="240" w:lineRule="auto"/>
                    <w:rPr>
                      <w:rFonts w:ascii="Arial" w:hAnsi="Arial" w:cs="Arial"/>
                    </w:rPr>
                  </w:pPr>
                  <w:r>
                    <w:rPr>
                      <w:rFonts w:ascii="Arial" w:hAnsi="Arial" w:cs="Arial"/>
                      <w:sz w:val="12"/>
                      <w:szCs w:val="12"/>
                    </w:rPr>
                    <w:t>Fuente: Elaborados con datos del INEGI.</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4265714" cy="2842733"/>
            <wp:effectExtent l="57150" t="19050" r="77686" b="52867"/>
            <wp:docPr id="257"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9B1733" w:rsidRPr="00772E03" w:rsidRDefault="009B1733" w:rsidP="009B1733">
      <w:pPr>
        <w:rPr>
          <w:rFonts w:asciiTheme="minorHAnsi" w:hAnsiTheme="minorHAnsi" w:cstheme="minorHAnsi"/>
          <w:b/>
          <w:bCs/>
          <w:sz w:val="24"/>
          <w:szCs w:val="24"/>
        </w:rPr>
      </w:pPr>
    </w:p>
    <w:p w:rsidR="00463DCA" w:rsidRPr="00772E03" w:rsidRDefault="00463DCA" w:rsidP="009B1733">
      <w:pPr>
        <w:spacing w:line="360" w:lineRule="auto"/>
        <w:rPr>
          <w:rFonts w:asciiTheme="minorHAnsi" w:hAnsiTheme="minorHAnsi" w:cstheme="minorHAnsi"/>
          <w:b/>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sz w:val="24"/>
          <w:szCs w:val="24"/>
        </w:rPr>
        <w:t>Coeficiente de productividad</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Los coeficientes de productividad son una forma más de medir el nivel productivo de cada uno de los municipios, este coeficiente se obtiene de la relación entre el valor agregado o Producto Interno Bruto (PIB) y el personal ocupado en cada sector </w:t>
      </w:r>
      <w:r w:rsidRPr="00772E03">
        <w:rPr>
          <w:rFonts w:asciiTheme="minorHAnsi" w:hAnsiTheme="minorHAnsi" w:cstheme="minorHAnsi"/>
          <w:i/>
          <w:sz w:val="24"/>
          <w:szCs w:val="24"/>
        </w:rPr>
        <w:t xml:space="preserve">i </w:t>
      </w:r>
      <w:r w:rsidRPr="00772E03">
        <w:rPr>
          <w:rFonts w:asciiTheme="minorHAnsi" w:hAnsiTheme="minorHAnsi" w:cstheme="minorHAnsi"/>
          <w:sz w:val="24"/>
          <w:szCs w:val="24"/>
        </w:rPr>
        <w:t xml:space="preserve">y región </w:t>
      </w:r>
      <w:r w:rsidRPr="00772E03">
        <w:rPr>
          <w:rFonts w:asciiTheme="minorHAnsi" w:hAnsiTheme="minorHAnsi" w:cstheme="minorHAnsi"/>
          <w:i/>
          <w:sz w:val="24"/>
          <w:szCs w:val="24"/>
        </w:rPr>
        <w:t xml:space="preserve">j </w:t>
      </w:r>
      <w:r w:rsidRPr="00772E03">
        <w:rPr>
          <w:rFonts w:asciiTheme="minorHAnsi" w:hAnsiTheme="minorHAnsi" w:cstheme="minorHAnsi"/>
          <w:sz w:val="24"/>
          <w:szCs w:val="24"/>
        </w:rPr>
        <w:t>con respecto al mismo c</w:t>
      </w:r>
      <w:r w:rsidR="00C8253F" w:rsidRPr="00772E03">
        <w:rPr>
          <w:rFonts w:asciiTheme="minorHAnsi" w:hAnsiTheme="minorHAnsi" w:cstheme="minorHAnsi"/>
          <w:sz w:val="24"/>
          <w:szCs w:val="24"/>
        </w:rPr>
        <w:t>oeficiente en el ámbito estatal</w:t>
      </w:r>
      <w:r w:rsidRPr="00772E03">
        <w:rPr>
          <w:rFonts w:asciiTheme="minorHAnsi" w:hAnsiTheme="minorHAnsi" w:cstheme="minorHAnsi"/>
          <w:sz w:val="24"/>
          <w:szCs w:val="24"/>
        </w:rPr>
        <w:t>.</w:t>
      </w:r>
    </w:p>
    <w:p w:rsidR="00C8253F" w:rsidRPr="00772E03" w:rsidRDefault="00C8253F" w:rsidP="00C8253F">
      <w:pPr>
        <w:spacing w:line="360" w:lineRule="auto"/>
        <w:jc w:val="both"/>
        <w:rPr>
          <w:rFonts w:asciiTheme="minorHAnsi" w:hAnsiTheme="minorHAnsi" w:cstheme="minorHAnsi"/>
          <w:sz w:val="24"/>
          <w:szCs w:val="24"/>
          <w:lang w:eastAsia="es-MX"/>
        </w:rPr>
      </w:pPr>
      <w:r w:rsidRPr="00772E03">
        <w:rPr>
          <w:rFonts w:asciiTheme="minorHAnsi" w:hAnsiTheme="minorHAnsi" w:cstheme="minorHAnsi"/>
          <w:sz w:val="24"/>
          <w:szCs w:val="24"/>
          <w:lang w:eastAsia="es-MX"/>
        </w:rPr>
        <w:t xml:space="preserve">La fórmula para estimar el coeficiente de productividad es la siguiente:                  </w:t>
      </w:r>
      <w:proofErr w:type="spellStart"/>
      <w:r w:rsidRPr="00772E03">
        <w:rPr>
          <w:rFonts w:asciiTheme="minorHAnsi" w:hAnsiTheme="minorHAnsi" w:cstheme="minorHAnsi"/>
          <w:sz w:val="24"/>
          <w:szCs w:val="24"/>
          <w:lang w:eastAsia="es-MX"/>
        </w:rPr>
        <w:t>CPij</w:t>
      </w:r>
      <w:proofErr w:type="spellEnd"/>
      <w:r w:rsidRPr="00772E03">
        <w:rPr>
          <w:rFonts w:asciiTheme="minorHAnsi" w:hAnsiTheme="minorHAnsi" w:cstheme="minorHAnsi"/>
          <w:sz w:val="24"/>
          <w:szCs w:val="24"/>
          <w:lang w:eastAsia="es-MX"/>
        </w:rPr>
        <w:t xml:space="preserve"> = (</w:t>
      </w:r>
      <w:proofErr w:type="spellStart"/>
      <w:r w:rsidRPr="00772E03">
        <w:rPr>
          <w:rFonts w:asciiTheme="minorHAnsi" w:hAnsiTheme="minorHAnsi" w:cstheme="minorHAnsi"/>
          <w:sz w:val="24"/>
          <w:szCs w:val="24"/>
          <w:lang w:eastAsia="es-MX"/>
        </w:rPr>
        <w:t>Pij</w:t>
      </w:r>
      <w:proofErr w:type="spellEnd"/>
      <w:r w:rsidRPr="00772E03">
        <w:rPr>
          <w:rFonts w:asciiTheme="minorHAnsi" w:hAnsiTheme="minorHAnsi" w:cstheme="minorHAnsi"/>
          <w:sz w:val="24"/>
          <w:szCs w:val="24"/>
          <w:lang w:eastAsia="es-MX"/>
        </w:rPr>
        <w:t>/</w:t>
      </w:r>
      <w:proofErr w:type="spellStart"/>
      <w:r w:rsidRPr="00772E03">
        <w:rPr>
          <w:rFonts w:asciiTheme="minorHAnsi" w:hAnsiTheme="minorHAnsi" w:cstheme="minorHAnsi"/>
          <w:sz w:val="24"/>
          <w:szCs w:val="24"/>
          <w:lang w:eastAsia="es-MX"/>
        </w:rPr>
        <w:t>Eij</w:t>
      </w:r>
      <w:proofErr w:type="spellEnd"/>
      <w:r w:rsidRPr="00772E03">
        <w:rPr>
          <w:rFonts w:asciiTheme="minorHAnsi" w:hAnsiTheme="minorHAnsi" w:cstheme="minorHAnsi"/>
          <w:sz w:val="24"/>
          <w:szCs w:val="24"/>
          <w:lang w:eastAsia="es-MX"/>
        </w:rPr>
        <w:t>) / (</w:t>
      </w:r>
      <w:proofErr w:type="spellStart"/>
      <w:r w:rsidRPr="00772E03">
        <w:rPr>
          <w:rFonts w:asciiTheme="minorHAnsi" w:hAnsiTheme="minorHAnsi" w:cstheme="minorHAnsi"/>
          <w:sz w:val="24"/>
          <w:szCs w:val="24"/>
          <w:lang w:eastAsia="es-MX"/>
        </w:rPr>
        <w:t>Pnij</w:t>
      </w:r>
      <w:proofErr w:type="spellEnd"/>
      <w:r w:rsidRPr="00772E03">
        <w:rPr>
          <w:rFonts w:asciiTheme="minorHAnsi" w:hAnsiTheme="minorHAnsi" w:cstheme="minorHAnsi"/>
          <w:sz w:val="24"/>
          <w:szCs w:val="24"/>
          <w:lang w:eastAsia="es-MX"/>
        </w:rPr>
        <w:t>/</w:t>
      </w:r>
      <w:proofErr w:type="spellStart"/>
      <w:r w:rsidRPr="00772E03">
        <w:rPr>
          <w:rFonts w:asciiTheme="minorHAnsi" w:hAnsiTheme="minorHAnsi" w:cstheme="minorHAnsi"/>
          <w:sz w:val="24"/>
          <w:szCs w:val="24"/>
          <w:lang w:eastAsia="es-MX"/>
        </w:rPr>
        <w:t>Enij</w:t>
      </w:r>
      <w:proofErr w:type="spellEnd"/>
      <w:r w:rsidRPr="00772E03">
        <w:rPr>
          <w:rFonts w:asciiTheme="minorHAnsi" w:hAnsiTheme="minorHAnsi" w:cstheme="minorHAnsi"/>
          <w:sz w:val="24"/>
          <w:szCs w:val="24"/>
          <w:lang w:eastAsia="es-MX"/>
        </w:rPr>
        <w:t xml:space="preserve">). Donde P y E se refieren al valor agregado (o PIB) y a la población ocupada, respectivamente, y los subíndices i y j a la rama de actividad y al municipio considerado, respectivamente. El subíndice n, indica que la variable a tratar se refiere al ámbito estatal. El coeficiente de productividad </w:t>
      </w:r>
      <w:proofErr w:type="spellStart"/>
      <w:r w:rsidRPr="00772E03">
        <w:rPr>
          <w:rFonts w:asciiTheme="minorHAnsi" w:hAnsiTheme="minorHAnsi" w:cstheme="minorHAnsi"/>
          <w:sz w:val="24"/>
          <w:szCs w:val="24"/>
          <w:lang w:eastAsia="es-MX"/>
        </w:rPr>
        <w:t>CPij</w:t>
      </w:r>
      <w:proofErr w:type="spellEnd"/>
      <w:r w:rsidRPr="00772E03">
        <w:rPr>
          <w:rFonts w:asciiTheme="minorHAnsi" w:hAnsiTheme="minorHAnsi" w:cstheme="minorHAnsi"/>
          <w:sz w:val="24"/>
          <w:szCs w:val="24"/>
          <w:lang w:eastAsia="es-MX"/>
        </w:rPr>
        <w:t xml:space="preserve"> compara, para cada sector i, el nivel de productividad del municipio j con la productividad observada en el mismo sector i a nivel estatal.</w:t>
      </w:r>
    </w:p>
    <w:p w:rsidR="00C8253F" w:rsidRPr="00772E03" w:rsidRDefault="00C8253F" w:rsidP="00C8253F">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lang w:eastAsia="es-MX"/>
        </w:rPr>
        <w:t xml:space="preserve">Este indicador contrasta la relación local y estatal;  y puede presentar valores menores, iguales o mayores a la unidad. En el primer caso la porción del valor añadido por cada </w:t>
      </w:r>
      <w:r w:rsidRPr="00772E03">
        <w:rPr>
          <w:rFonts w:asciiTheme="minorHAnsi" w:hAnsiTheme="minorHAnsi" w:cstheme="minorHAnsi"/>
          <w:sz w:val="24"/>
          <w:szCs w:val="24"/>
          <w:lang w:eastAsia="es-MX"/>
        </w:rPr>
        <w:lastRenderedPageBreak/>
        <w:t>trabajador es menor a la relación prevaleciente en el ámbito estatal. Por su parte, un índice igual a la unidad muestra niveles de productividad idénticos entre el municipio y la media estatal. De la misma forma, un índice cuyo valor exceda a la unidad indica que el valor agregado por trabajador en la actividad productiva i del municipio j sobrepasa a la del estado.</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Con base en esto, podemos observar que el municipio de Coatzacoalcos posee una productividad de 1.50, por lo que ocupa el 12° lugar entre los municipios con mayor productividad a nivel estatal.</w:t>
      </w:r>
    </w:p>
    <w:p w:rsidR="009B1733" w:rsidRPr="00772E03" w:rsidRDefault="009B1733" w:rsidP="009B1733">
      <w:pPr>
        <w:jc w:val="center"/>
        <w:rPr>
          <w:rFonts w:asciiTheme="minorHAnsi" w:hAnsiTheme="minorHAnsi" w:cstheme="minorHAnsi"/>
          <w:sz w:val="24"/>
          <w:szCs w:val="24"/>
        </w:rPr>
      </w:pPr>
    </w:p>
    <w:p w:rsidR="009B1733" w:rsidRPr="00772E03" w:rsidRDefault="0029009B" w:rsidP="00096645">
      <w:pPr>
        <w:spacing w:line="360" w:lineRule="auto"/>
        <w:jc w:val="both"/>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127" type="#_x0000_t202" style="position:absolute;left:0;text-align:left;margin-left:277.1pt;margin-top:405.35pt;width:125.9pt;height:13.8pt;z-index:251749376" strokecolor="white">
            <v:textbox style="mso-next-textbox:#_x0000_s1127">
              <w:txbxContent>
                <w:p w:rsidR="00912E32" w:rsidRPr="00DD5313" w:rsidRDefault="00912E32" w:rsidP="00096645">
                  <w:pPr>
                    <w:spacing w:line="240" w:lineRule="auto"/>
                    <w:rPr>
                      <w:rFonts w:ascii="Arial" w:hAnsi="Arial" w:cs="Arial"/>
                    </w:rPr>
                  </w:pPr>
                  <w:r>
                    <w:rPr>
                      <w:rFonts w:ascii="Arial" w:hAnsi="Arial" w:cs="Arial"/>
                      <w:sz w:val="12"/>
                      <w:szCs w:val="12"/>
                    </w:rPr>
                    <w:t>Fuente: Elaborados con datos del INEGI.</w:t>
                  </w:r>
                </w:p>
              </w:txbxContent>
            </v:textbox>
          </v:shape>
        </w:pict>
      </w:r>
      <w:r w:rsidR="00634629" w:rsidRPr="00772E03">
        <w:rPr>
          <w:rFonts w:asciiTheme="minorHAnsi" w:hAnsiTheme="minorHAnsi" w:cstheme="minorHAnsi"/>
          <w:noProof/>
          <w:sz w:val="24"/>
          <w:szCs w:val="24"/>
          <w:lang w:eastAsia="es-MX"/>
        </w:rPr>
        <w:drawing>
          <wp:anchor distT="0" distB="0" distL="114300" distR="114300" simplePos="0" relativeHeight="251715584" behindDoc="0" locked="0" layoutInCell="1" allowOverlap="1">
            <wp:simplePos x="0" y="0"/>
            <wp:positionH relativeFrom="column">
              <wp:posOffset>633095</wp:posOffset>
            </wp:positionH>
            <wp:positionV relativeFrom="paragraph">
              <wp:align>top</wp:align>
            </wp:positionV>
            <wp:extent cx="4686300" cy="5370195"/>
            <wp:effectExtent l="57150" t="19050" r="76200" b="59055"/>
            <wp:wrapSquare wrapText="bothSides"/>
            <wp:docPr id="258"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anchor>
        </w:drawing>
      </w:r>
      <w:r w:rsidR="009B1733" w:rsidRPr="00772E03">
        <w:rPr>
          <w:rFonts w:asciiTheme="minorHAnsi" w:hAnsiTheme="minorHAnsi" w:cstheme="minorHAnsi"/>
          <w:sz w:val="24"/>
          <w:szCs w:val="24"/>
        </w:rPr>
        <w:br w:type="textWrapping" w:clear="all"/>
      </w:r>
      <w:r w:rsidR="009B1733" w:rsidRPr="00772E03">
        <w:rPr>
          <w:rFonts w:asciiTheme="minorHAnsi" w:hAnsiTheme="minorHAnsi" w:cstheme="minorHAnsi"/>
          <w:noProof/>
          <w:sz w:val="24"/>
          <w:szCs w:val="24"/>
          <w:lang w:eastAsia="es-MX" w:bidi="hi-IN"/>
        </w:rPr>
        <w:lastRenderedPageBreak/>
        <w:t xml:space="preserve">El comercio al por menor en Coatzacoalcos preseta un coeficiente de productividad de 1.58 y se encuentra  en el 5° lugar a nivel Estatal, comprende unidades economicas dedicadas principalmente a la compra-venta de bienes de consumo final para ser vendidos a las personas y hogares de esté municipio. </w:t>
      </w:r>
    </w:p>
    <w:p w:rsidR="009B1733" w:rsidRPr="00772E03" w:rsidRDefault="0029009B" w:rsidP="009B1733">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094" type="#_x0000_t202" style="position:absolute;left:0;text-align:left;margin-left:257.85pt;margin-top:191.2pt;width:126.5pt;height:13.8pt;z-index:251716608" strokecolor="white">
            <v:textbox style="mso-next-textbox:#_x0000_s1094">
              <w:txbxContent>
                <w:p w:rsidR="00912E32" w:rsidRPr="00DD5313" w:rsidRDefault="00912E32" w:rsidP="00044DAC">
                  <w:pPr>
                    <w:spacing w:line="240" w:lineRule="auto"/>
                    <w:jc w:val="right"/>
                    <w:rPr>
                      <w:rFonts w:ascii="Arial" w:hAnsi="Arial" w:cs="Arial"/>
                    </w:rPr>
                  </w:pPr>
                  <w:r w:rsidRPr="00972702">
                    <w:rPr>
                      <w:rFonts w:ascii="Arial" w:hAnsi="Arial" w:cs="Arial"/>
                      <w:sz w:val="12"/>
                      <w:szCs w:val="12"/>
                    </w:rPr>
                    <w:t>F</w:t>
                  </w:r>
                  <w:r>
                    <w:rPr>
                      <w:rFonts w:ascii="Arial" w:hAnsi="Arial" w:cs="Arial"/>
                      <w:sz w:val="12"/>
                      <w:szCs w:val="12"/>
                    </w:rPr>
                    <w:t xml:space="preserve">uente: Censos Económicos INEGI. </w:t>
                  </w:r>
                </w:p>
              </w:txbxContent>
            </v:textbox>
          </v:shape>
        </w:pict>
      </w:r>
      <w:r w:rsidR="009B1733" w:rsidRPr="00772E03">
        <w:rPr>
          <w:rFonts w:asciiTheme="minorHAnsi" w:hAnsiTheme="minorHAnsi" w:cstheme="minorHAnsi"/>
          <w:noProof/>
          <w:sz w:val="24"/>
          <w:szCs w:val="24"/>
          <w:lang w:eastAsia="es-MX"/>
        </w:rPr>
        <w:drawing>
          <wp:inline distT="0" distB="0" distL="0" distR="0">
            <wp:extent cx="4379781" cy="2616573"/>
            <wp:effectExtent l="57150" t="19050" r="77919" b="50427"/>
            <wp:docPr id="259"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9B1733" w:rsidRPr="00772E03" w:rsidRDefault="009B1733" w:rsidP="009B1733">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Coatzacoalcos se ubica en el 6° lugar de acuerdo a su coeficiente de productividad en el serctor manufacturero que es de 2.03 el cual reactiva la economía de esté municipio.</w:t>
      </w:r>
    </w:p>
    <w:p w:rsidR="009B1733" w:rsidRPr="00772E03" w:rsidRDefault="0029009B" w:rsidP="009B1733">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095" type="#_x0000_t202" style="position:absolute;left:0;text-align:left;margin-left:146.05pt;margin-top:207pt;width:240.05pt;height:13.8pt;z-index:251717632" strokecolor="white">
            <v:textbox style="mso-next-textbox:#_x0000_s1095">
              <w:txbxContent>
                <w:p w:rsidR="00912E32" w:rsidRPr="00DD5313" w:rsidRDefault="00912E32" w:rsidP="00044DAC">
                  <w:pPr>
                    <w:spacing w:line="240" w:lineRule="auto"/>
                    <w:jc w:val="right"/>
                    <w:rPr>
                      <w:rFonts w:ascii="Arial" w:hAnsi="Arial" w:cs="Arial"/>
                    </w:rPr>
                  </w:pPr>
                  <w:r>
                    <w:rPr>
                      <w:rFonts w:ascii="Arial" w:hAnsi="Arial" w:cs="Arial"/>
                      <w:sz w:val="12"/>
                      <w:szCs w:val="12"/>
                    </w:rPr>
                    <w:t>Fuente: Censos Económicos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456990" cy="2799454"/>
            <wp:effectExtent l="57150" t="19050" r="76910" b="58046"/>
            <wp:docPr id="260"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9B1733" w:rsidRPr="00772E03" w:rsidRDefault="009B1733" w:rsidP="009B1733">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lastRenderedPageBreak/>
        <w:t>Otro sector en el que Coatzacoalcos presenta un coeficiente de productividad es el sector minero con .28, ubicandose en el 11° lugar a nivel Estatal; mientras tanto este sector impulsa la economía de este municipio para que siga crecindo.</w:t>
      </w:r>
    </w:p>
    <w:p w:rsidR="009B1733" w:rsidRPr="00772E03" w:rsidRDefault="0029009B" w:rsidP="009B1733">
      <w:pPr>
        <w:jc w:val="center"/>
        <w:rPr>
          <w:rFonts w:asciiTheme="minorHAnsi" w:hAnsiTheme="minorHAnsi" w:cstheme="minorHAnsi"/>
          <w:noProof/>
          <w:sz w:val="24"/>
          <w:szCs w:val="24"/>
          <w:lang w:eastAsia="es-MX" w:bidi="hi-IN"/>
        </w:rPr>
      </w:pPr>
      <w:r w:rsidRPr="0029009B">
        <w:rPr>
          <w:rFonts w:asciiTheme="minorHAnsi" w:hAnsiTheme="minorHAnsi" w:cstheme="minorHAnsi"/>
          <w:b/>
          <w:bCs/>
          <w:noProof/>
          <w:sz w:val="24"/>
          <w:szCs w:val="24"/>
          <w:lang w:eastAsia="es-MX" w:bidi="hi-IN"/>
        </w:rPr>
        <w:pict>
          <v:shape id="_x0000_s1096" type="#_x0000_t202" style="position:absolute;left:0;text-align:left;margin-left:140.2pt;margin-top:189.2pt;width:240.05pt;height:13.8pt;z-index:251718656" strokecolor="white">
            <v:textbox style="mso-next-textbox:#_x0000_s1096">
              <w:txbxContent>
                <w:p w:rsidR="00912E32" w:rsidRPr="00DD5313" w:rsidRDefault="00912E32" w:rsidP="00044DAC">
                  <w:pPr>
                    <w:spacing w:line="240" w:lineRule="auto"/>
                    <w:jc w:val="right"/>
                    <w:rPr>
                      <w:rFonts w:ascii="Arial" w:hAnsi="Arial" w:cs="Arial"/>
                    </w:rPr>
                  </w:pPr>
                  <w:r>
                    <w:rPr>
                      <w:rFonts w:ascii="Arial" w:hAnsi="Arial" w:cs="Arial"/>
                      <w:sz w:val="12"/>
                      <w:szCs w:val="12"/>
                    </w:rPr>
                    <w:t>Fuente: Censos Económicos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241875" cy="2573543"/>
            <wp:effectExtent l="57150" t="19050" r="82475" b="55357"/>
            <wp:docPr id="261"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servicios es de suma importancia y Coatzacoalcos se ubica dentro del 10° lugar a nivel estatal con una productividad de 1.1</w:t>
      </w:r>
      <w:r w:rsidR="00634629" w:rsidRPr="00772E03">
        <w:rPr>
          <w:rFonts w:asciiTheme="minorHAnsi" w:hAnsiTheme="minorHAnsi" w:cstheme="minorHAnsi"/>
          <w:sz w:val="24"/>
          <w:szCs w:val="24"/>
        </w:rPr>
        <w:t xml:space="preserve">5, mientras </w:t>
      </w:r>
      <w:proofErr w:type="spellStart"/>
      <w:r w:rsidR="00634629" w:rsidRPr="00772E03">
        <w:rPr>
          <w:rFonts w:asciiTheme="minorHAnsi" w:hAnsiTheme="minorHAnsi" w:cstheme="minorHAnsi"/>
          <w:sz w:val="24"/>
          <w:szCs w:val="24"/>
        </w:rPr>
        <w:t>Jaltipan</w:t>
      </w:r>
      <w:proofErr w:type="spellEnd"/>
      <w:r w:rsidR="00634629" w:rsidRPr="00772E03">
        <w:rPr>
          <w:rFonts w:asciiTheme="minorHAnsi" w:hAnsiTheme="minorHAnsi" w:cstheme="minorHAnsi"/>
          <w:sz w:val="24"/>
          <w:szCs w:val="24"/>
        </w:rPr>
        <w:t xml:space="preserve"> ocupa el pr</w:t>
      </w:r>
      <w:r w:rsidRPr="00772E03">
        <w:rPr>
          <w:rFonts w:asciiTheme="minorHAnsi" w:hAnsiTheme="minorHAnsi" w:cstheme="minorHAnsi"/>
          <w:sz w:val="24"/>
          <w:szCs w:val="24"/>
        </w:rPr>
        <w:t>imer lugar con 2.90 de productividad en el estado.</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28" type="#_x0000_t202" style="position:absolute;left:0;text-align:left;margin-left:141.55pt;margin-top:210.4pt;width:240.05pt;height:13.8pt;z-index:251750400" strokecolor="white">
            <v:textbox style="mso-next-textbox:#_x0000_s1128">
              <w:txbxContent>
                <w:p w:rsidR="00912E32" w:rsidRPr="00DD5313" w:rsidRDefault="00912E32" w:rsidP="00044DAC">
                  <w:pPr>
                    <w:spacing w:line="240" w:lineRule="auto"/>
                    <w:jc w:val="right"/>
                    <w:rPr>
                      <w:rFonts w:ascii="Arial" w:hAnsi="Arial" w:cs="Arial"/>
                    </w:rPr>
                  </w:pPr>
                  <w:r>
                    <w:rPr>
                      <w:rFonts w:ascii="Arial" w:hAnsi="Arial" w:cs="Arial"/>
                      <w:sz w:val="12"/>
                      <w:szCs w:val="12"/>
                    </w:rPr>
                    <w:t>Fuente: Censos Económicos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353485" cy="2863177"/>
            <wp:effectExtent l="57150" t="19050" r="85165" b="51473"/>
            <wp:docPr id="262"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importancia que presentan los diferentes sectores de actividades en la economía en su conjunto del municipio de Coatzacoalcos, puede ser determinada a partir de la productividad  que posee cada uno de estos sectores.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sector que presenta un mayor coeficiente de productividad municipal es el de Transportes, correos y almacenamiento, este coeficiente ascienda a 38.94, el cual se encuentra muy por arriba de los demás sectores.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Otro sector importante es el manufacturero con un coeficiente de productividad de 2.03, seguido por el comercio al por menor, el cual presenta un coeficiente de 1.58.</w:t>
      </w:r>
    </w:p>
    <w:p w:rsidR="009B1733" w:rsidRPr="00772E03" w:rsidRDefault="0029009B" w:rsidP="009B1733">
      <w:pPr>
        <w:spacing w:line="360" w:lineRule="auto"/>
        <w:jc w:val="center"/>
        <w:rPr>
          <w:rFonts w:asciiTheme="minorHAnsi" w:hAnsiTheme="minorHAnsi" w:cstheme="minorHAnsi"/>
          <w:sz w:val="24"/>
          <w:szCs w:val="24"/>
        </w:rPr>
      </w:pPr>
      <w:r>
        <w:rPr>
          <w:rFonts w:asciiTheme="minorHAnsi" w:hAnsiTheme="minorHAnsi" w:cstheme="minorHAnsi"/>
          <w:noProof/>
          <w:sz w:val="24"/>
          <w:szCs w:val="24"/>
          <w:lang w:eastAsia="es-MX"/>
        </w:rPr>
        <w:lastRenderedPageBreak/>
        <w:pict>
          <v:shape id="_x0000_s1097" type="#_x0000_t202" style="position:absolute;left:0;text-align:left;margin-left:246.7pt;margin-top:199.4pt;width:148.95pt;height:16.9pt;z-index:251719680" stroked="f">
            <v:textbox style="mso-next-textbox:#_x0000_s1097">
              <w:txbxContent>
                <w:p w:rsidR="00912E32" w:rsidRPr="002140BB" w:rsidRDefault="00912E32" w:rsidP="00044DAC">
                  <w:pPr>
                    <w:jc w:val="right"/>
                    <w:rPr>
                      <w:sz w:val="16"/>
                      <w:szCs w:val="16"/>
                    </w:rPr>
                  </w:pPr>
                  <w:r w:rsidRPr="002140BB">
                    <w:rPr>
                      <w:sz w:val="16"/>
                      <w:szCs w:val="16"/>
                    </w:rPr>
                    <w:t>Fuen</w:t>
                  </w:r>
                  <w:r>
                    <w:rPr>
                      <w:sz w:val="16"/>
                      <w:szCs w:val="16"/>
                    </w:rPr>
                    <w:t>te: Elaborado con datos de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667250" cy="2743200"/>
            <wp:effectExtent l="57150" t="19050" r="76200" b="57150"/>
            <wp:docPr id="263"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9B1733" w:rsidRPr="00772E03" w:rsidRDefault="009B1733" w:rsidP="009B1733">
      <w:pPr>
        <w:jc w:val="center"/>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electricidad, agua y suministros de gas presentan el menor coeficiente de todos los sectores de actividades ya que este es de 0.04, el sector minero, poseen un coeficiente de productividad de 0.28.</w:t>
      </w:r>
    </w:p>
    <w:p w:rsidR="00634629" w:rsidRPr="00772E03" w:rsidRDefault="00634629"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b/>
          <w:sz w:val="24"/>
          <w:szCs w:val="24"/>
        </w:rPr>
      </w:pPr>
      <w:r w:rsidRPr="00772E03">
        <w:rPr>
          <w:rFonts w:asciiTheme="minorHAnsi" w:hAnsiTheme="minorHAnsi" w:cstheme="minorHAnsi"/>
          <w:b/>
          <w:sz w:val="24"/>
          <w:szCs w:val="24"/>
        </w:rPr>
        <w:t>Coeficiente de Especialización</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coeficiente de especialización es un indicador en base al cual podemos medir el grado de especialización de entidades federativas, regiones y municipios, obteniendo como resultado la determinación de cuáles son las actividades económicas que emplean una mayor proporción de la mano de obra.</w:t>
      </w:r>
    </w:p>
    <w:p w:rsidR="004E0886" w:rsidRPr="00772E03" w:rsidRDefault="004E0886" w:rsidP="004E0886">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coeficiente de especialización se estima a partir de la siguiente fórmula:</w:t>
      </w:r>
      <w:r w:rsidRPr="00772E03">
        <w:rPr>
          <w:rFonts w:asciiTheme="minorHAnsi" w:hAnsiTheme="minorHAnsi" w:cstheme="minorHAnsi"/>
          <w:sz w:val="24"/>
          <w:szCs w:val="24"/>
          <w:lang w:eastAsia="es-MX"/>
        </w:rPr>
        <w:t xml:space="preserve">          </w:t>
      </w:r>
      <w:proofErr w:type="spellStart"/>
      <w:r w:rsidRPr="00772E03">
        <w:rPr>
          <w:rFonts w:asciiTheme="minorHAnsi" w:hAnsiTheme="minorHAnsi" w:cstheme="minorHAnsi"/>
          <w:sz w:val="24"/>
          <w:szCs w:val="24"/>
          <w:lang w:eastAsia="es-MX"/>
        </w:rPr>
        <w:t>CEij</w:t>
      </w:r>
      <w:proofErr w:type="spellEnd"/>
      <w:r w:rsidRPr="00772E03">
        <w:rPr>
          <w:rFonts w:asciiTheme="minorHAnsi" w:hAnsiTheme="minorHAnsi" w:cstheme="minorHAnsi"/>
          <w:sz w:val="24"/>
          <w:szCs w:val="24"/>
          <w:lang w:eastAsia="es-MX"/>
        </w:rPr>
        <w:t>= (</w:t>
      </w:r>
      <w:proofErr w:type="spellStart"/>
      <w:r w:rsidRPr="00772E03">
        <w:rPr>
          <w:rFonts w:asciiTheme="minorHAnsi" w:hAnsiTheme="minorHAnsi" w:cstheme="minorHAnsi"/>
          <w:sz w:val="24"/>
          <w:szCs w:val="24"/>
          <w:lang w:eastAsia="es-MX"/>
        </w:rPr>
        <w:t>Eij</w:t>
      </w:r>
      <w:proofErr w:type="spellEnd"/>
      <w:r w:rsidRPr="00772E03">
        <w:rPr>
          <w:rFonts w:asciiTheme="minorHAnsi" w:hAnsiTheme="minorHAnsi" w:cstheme="minorHAnsi"/>
          <w:sz w:val="24"/>
          <w:szCs w:val="24"/>
          <w:lang w:eastAsia="es-MX"/>
        </w:rPr>
        <w:t>/</w:t>
      </w:r>
      <w:proofErr w:type="spellStart"/>
      <w:r w:rsidRPr="00772E03">
        <w:rPr>
          <w:rFonts w:asciiTheme="minorHAnsi" w:hAnsiTheme="minorHAnsi" w:cstheme="minorHAnsi"/>
          <w:sz w:val="24"/>
          <w:szCs w:val="24"/>
          <w:lang w:eastAsia="es-MX"/>
        </w:rPr>
        <w:t>Ej</w:t>
      </w:r>
      <w:proofErr w:type="spellEnd"/>
      <w:r w:rsidRPr="00772E03">
        <w:rPr>
          <w:rFonts w:asciiTheme="minorHAnsi" w:hAnsiTheme="minorHAnsi" w:cstheme="minorHAnsi"/>
          <w:sz w:val="24"/>
          <w:szCs w:val="24"/>
          <w:lang w:eastAsia="es-MX"/>
        </w:rPr>
        <w:t>)/(</w:t>
      </w:r>
      <w:proofErr w:type="spellStart"/>
      <w:r w:rsidRPr="00772E03">
        <w:rPr>
          <w:rFonts w:asciiTheme="minorHAnsi" w:hAnsiTheme="minorHAnsi" w:cstheme="minorHAnsi"/>
          <w:sz w:val="24"/>
          <w:szCs w:val="24"/>
          <w:lang w:eastAsia="es-MX"/>
        </w:rPr>
        <w:t>Ei</w:t>
      </w:r>
      <w:proofErr w:type="spellEnd"/>
      <w:r w:rsidRPr="00772E03">
        <w:rPr>
          <w:rFonts w:asciiTheme="minorHAnsi" w:hAnsiTheme="minorHAnsi" w:cstheme="minorHAnsi"/>
          <w:sz w:val="24"/>
          <w:szCs w:val="24"/>
          <w:lang w:eastAsia="es-MX"/>
        </w:rPr>
        <w:t>/En).</w:t>
      </w:r>
      <w:r w:rsidRPr="00772E03">
        <w:rPr>
          <w:rFonts w:asciiTheme="minorHAnsi" w:hAnsiTheme="minorHAnsi" w:cstheme="minorHAnsi"/>
          <w:sz w:val="24"/>
          <w:szCs w:val="24"/>
        </w:rPr>
        <w:t xml:space="preserve"> Donde </w:t>
      </w:r>
      <w:r w:rsidRPr="00772E03">
        <w:rPr>
          <w:rFonts w:asciiTheme="minorHAnsi" w:hAnsiTheme="minorHAnsi" w:cstheme="minorHAnsi"/>
          <w:b/>
          <w:i/>
          <w:iCs/>
          <w:sz w:val="24"/>
          <w:szCs w:val="24"/>
        </w:rPr>
        <w:t>E</w:t>
      </w:r>
      <w:r w:rsidRPr="00772E03">
        <w:rPr>
          <w:rFonts w:asciiTheme="minorHAnsi" w:hAnsiTheme="minorHAnsi" w:cstheme="minorHAnsi"/>
          <w:sz w:val="24"/>
          <w:szCs w:val="24"/>
        </w:rPr>
        <w:t xml:space="preserve"> se refiere al empleo y los subíndices </w:t>
      </w:r>
      <w:r w:rsidRPr="00772E03">
        <w:rPr>
          <w:rFonts w:asciiTheme="minorHAnsi" w:hAnsiTheme="minorHAnsi" w:cstheme="minorHAnsi"/>
          <w:i/>
          <w:iCs/>
          <w:sz w:val="24"/>
          <w:szCs w:val="24"/>
        </w:rPr>
        <w:t>i</w:t>
      </w:r>
      <w:r w:rsidRPr="00772E03">
        <w:rPr>
          <w:rFonts w:asciiTheme="minorHAnsi" w:hAnsiTheme="minorHAnsi" w:cstheme="minorHAnsi"/>
          <w:sz w:val="24"/>
          <w:szCs w:val="24"/>
        </w:rPr>
        <w:t xml:space="preserve"> y </w:t>
      </w:r>
      <w:r w:rsidRPr="00772E03">
        <w:rPr>
          <w:rFonts w:asciiTheme="minorHAnsi" w:hAnsiTheme="minorHAnsi" w:cstheme="minorHAnsi"/>
          <w:i/>
          <w:iCs/>
          <w:sz w:val="24"/>
          <w:szCs w:val="24"/>
        </w:rPr>
        <w:t>j</w:t>
      </w:r>
      <w:r w:rsidRPr="00772E03">
        <w:rPr>
          <w:rFonts w:asciiTheme="minorHAnsi" w:hAnsiTheme="minorHAnsi" w:cstheme="minorHAnsi"/>
          <w:sz w:val="24"/>
          <w:szCs w:val="24"/>
        </w:rPr>
        <w:t xml:space="preserve"> a la rama de actividad y al municipio (o región) considerado, respectivamente. El subíndice </w:t>
      </w:r>
      <w:r w:rsidRPr="00772E03">
        <w:rPr>
          <w:rFonts w:asciiTheme="minorHAnsi" w:hAnsiTheme="minorHAnsi" w:cstheme="minorHAnsi"/>
          <w:b/>
          <w:i/>
          <w:iCs/>
          <w:sz w:val="24"/>
          <w:szCs w:val="24"/>
        </w:rPr>
        <w:t>n</w:t>
      </w:r>
      <w:r w:rsidRPr="00772E03">
        <w:rPr>
          <w:rFonts w:asciiTheme="minorHAnsi" w:hAnsiTheme="minorHAnsi" w:cstheme="minorHAnsi"/>
          <w:b/>
          <w:sz w:val="24"/>
          <w:szCs w:val="24"/>
        </w:rPr>
        <w:t>,</w:t>
      </w:r>
      <w:r w:rsidRPr="00772E03">
        <w:rPr>
          <w:rFonts w:asciiTheme="minorHAnsi" w:hAnsiTheme="minorHAnsi" w:cstheme="minorHAnsi"/>
          <w:sz w:val="24"/>
          <w:szCs w:val="24"/>
        </w:rPr>
        <w:t xml:space="preserve"> indica que la variable a tratar se refiere al ámbito estatal. De esta forma, el coeficiente de especialización compara el peso del empleo del sector</w:t>
      </w:r>
      <w:r w:rsidRPr="00772E03">
        <w:rPr>
          <w:rFonts w:asciiTheme="minorHAnsi" w:hAnsiTheme="minorHAnsi" w:cstheme="minorHAnsi"/>
          <w:i/>
          <w:iCs/>
          <w:sz w:val="24"/>
          <w:szCs w:val="24"/>
        </w:rPr>
        <w:t xml:space="preserve"> i</w:t>
      </w:r>
      <w:r w:rsidRPr="00772E03">
        <w:rPr>
          <w:rFonts w:asciiTheme="minorHAnsi" w:hAnsiTheme="minorHAnsi" w:cstheme="minorHAnsi"/>
          <w:sz w:val="24"/>
          <w:szCs w:val="24"/>
        </w:rPr>
        <w:t xml:space="preserve"> en el municipio </w:t>
      </w:r>
      <w:r w:rsidRPr="00772E03">
        <w:rPr>
          <w:rFonts w:asciiTheme="minorHAnsi" w:hAnsiTheme="minorHAnsi" w:cstheme="minorHAnsi"/>
          <w:i/>
          <w:iCs/>
          <w:sz w:val="24"/>
          <w:szCs w:val="24"/>
        </w:rPr>
        <w:t>j</w:t>
      </w:r>
      <w:r w:rsidRPr="00772E03">
        <w:rPr>
          <w:rFonts w:asciiTheme="minorHAnsi" w:hAnsiTheme="minorHAnsi" w:cstheme="minorHAnsi"/>
          <w:sz w:val="24"/>
          <w:szCs w:val="24"/>
        </w:rPr>
        <w:t xml:space="preserve"> con la participación de dicha actividad en el conjunto estatal.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Debido a que el coeficiente de especialización contrasta la relación local y nacional, se pueden presentar valores menores, iguales o mayores a la unidad.</w:t>
      </w:r>
    </w:p>
    <w:p w:rsidR="009B1733" w:rsidRPr="00772E03" w:rsidRDefault="009B1733" w:rsidP="009B1733">
      <w:pPr>
        <w:numPr>
          <w:ilvl w:val="0"/>
          <w:numId w:val="2"/>
        </w:numPr>
        <w:spacing w:before="100" w:beforeAutospacing="1" w:after="100" w:afterAutospacing="1" w:line="360" w:lineRule="auto"/>
        <w:ind w:left="714" w:hanging="357"/>
        <w:jc w:val="both"/>
        <w:rPr>
          <w:rFonts w:asciiTheme="minorHAnsi" w:hAnsiTheme="minorHAnsi" w:cstheme="minorHAnsi"/>
          <w:sz w:val="24"/>
          <w:szCs w:val="24"/>
        </w:rPr>
      </w:pPr>
      <w:r w:rsidRPr="00772E03">
        <w:rPr>
          <w:rFonts w:asciiTheme="minorHAnsi" w:hAnsiTheme="minorHAnsi" w:cstheme="minorHAnsi"/>
          <w:sz w:val="24"/>
          <w:szCs w:val="24"/>
        </w:rPr>
        <w:t xml:space="preserve">En el primer caso, el peso relativo del empleo de una industria en una determinada región, es menor que la relación prevaleciente en el ámbito nacional, que es igual a uno. </w:t>
      </w:r>
    </w:p>
    <w:p w:rsidR="009B1733" w:rsidRPr="00772E03" w:rsidRDefault="009B1733" w:rsidP="009B1733">
      <w:pPr>
        <w:numPr>
          <w:ilvl w:val="0"/>
          <w:numId w:val="2"/>
        </w:numPr>
        <w:spacing w:before="100" w:beforeAutospacing="1" w:after="100" w:afterAutospacing="1" w:line="360" w:lineRule="auto"/>
        <w:ind w:left="714" w:hanging="357"/>
        <w:jc w:val="both"/>
        <w:rPr>
          <w:rFonts w:asciiTheme="minorHAnsi" w:hAnsiTheme="minorHAnsi" w:cstheme="minorHAnsi"/>
          <w:sz w:val="24"/>
          <w:szCs w:val="24"/>
        </w:rPr>
      </w:pPr>
      <w:r w:rsidRPr="00772E03">
        <w:rPr>
          <w:rFonts w:asciiTheme="minorHAnsi" w:hAnsiTheme="minorHAnsi" w:cstheme="minorHAnsi"/>
          <w:sz w:val="24"/>
          <w:szCs w:val="24"/>
        </w:rPr>
        <w:t xml:space="preserve">Un índice igual a la unidad, por su parte, muestra idénticas proporciones de empleo industrial entre la región y el promedio nacional. </w:t>
      </w:r>
    </w:p>
    <w:p w:rsidR="009B1733" w:rsidRPr="00772E03" w:rsidRDefault="009B1733" w:rsidP="009B1733">
      <w:pPr>
        <w:numPr>
          <w:ilvl w:val="0"/>
          <w:numId w:val="2"/>
        </w:numPr>
        <w:spacing w:before="100" w:beforeAutospacing="1" w:after="100" w:afterAutospacing="1" w:line="360" w:lineRule="auto"/>
        <w:ind w:left="714" w:hanging="357"/>
        <w:jc w:val="both"/>
        <w:rPr>
          <w:rFonts w:asciiTheme="minorHAnsi" w:hAnsiTheme="minorHAnsi" w:cstheme="minorHAnsi"/>
          <w:sz w:val="24"/>
          <w:szCs w:val="24"/>
        </w:rPr>
      </w:pPr>
      <w:r w:rsidRPr="00772E03">
        <w:rPr>
          <w:rFonts w:asciiTheme="minorHAnsi" w:hAnsiTheme="minorHAnsi" w:cstheme="minorHAnsi"/>
          <w:sz w:val="24"/>
          <w:szCs w:val="24"/>
        </w:rPr>
        <w:t xml:space="preserve">Finalmente, un índice cuyo valor exceda a la unidad, indica que el empleo en la actividad productiva </w:t>
      </w:r>
      <w:r w:rsidRPr="00772E03">
        <w:rPr>
          <w:rFonts w:asciiTheme="minorHAnsi" w:hAnsiTheme="minorHAnsi" w:cstheme="minorHAnsi"/>
          <w:i/>
          <w:iCs/>
          <w:sz w:val="24"/>
          <w:szCs w:val="24"/>
        </w:rPr>
        <w:t>i</w:t>
      </w:r>
      <w:r w:rsidRPr="00772E03">
        <w:rPr>
          <w:rFonts w:asciiTheme="minorHAnsi" w:hAnsiTheme="minorHAnsi" w:cstheme="minorHAnsi"/>
          <w:sz w:val="24"/>
          <w:szCs w:val="24"/>
        </w:rPr>
        <w:t xml:space="preserve"> de la región</w:t>
      </w:r>
      <w:r w:rsidRPr="00772E03">
        <w:rPr>
          <w:rFonts w:asciiTheme="minorHAnsi" w:hAnsiTheme="minorHAnsi" w:cstheme="minorHAnsi"/>
          <w:i/>
          <w:iCs/>
          <w:sz w:val="24"/>
          <w:szCs w:val="24"/>
        </w:rPr>
        <w:t xml:space="preserve"> j</w:t>
      </w:r>
      <w:r w:rsidRPr="00772E03">
        <w:rPr>
          <w:rFonts w:asciiTheme="minorHAnsi" w:hAnsiTheme="minorHAnsi" w:cstheme="minorHAnsi"/>
          <w:sz w:val="24"/>
          <w:szCs w:val="24"/>
        </w:rPr>
        <w:t xml:space="preserve"> sobrepasa a la misma relación a escala nacional. </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Por lo tanto, cuando el valor del coeficiente de especialización de una entidad federativa (o región) es superior a la unidad en alguna rama económica, ésta se "especializa" en tal producción y se constituye en una de sus funciones predominantes.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De esta manera continuando con el análisis, tenemos que el coeficiente de especialización puede ser calculado a partir de los datos de la variable empleo o del valor agregado (PIB) del municipio en relación con el estado.  </w:t>
      </w:r>
    </w:p>
    <w:tbl>
      <w:tblPr>
        <w:tblW w:w="6857" w:type="dxa"/>
        <w:jc w:val="center"/>
        <w:tblInd w:w="55" w:type="dxa"/>
        <w:tblCellMar>
          <w:left w:w="70" w:type="dxa"/>
          <w:right w:w="70" w:type="dxa"/>
        </w:tblCellMar>
        <w:tblLook w:val="04A0"/>
      </w:tblPr>
      <w:tblGrid>
        <w:gridCol w:w="1441"/>
        <w:gridCol w:w="1779"/>
        <w:gridCol w:w="929"/>
        <w:gridCol w:w="1779"/>
        <w:gridCol w:w="929"/>
      </w:tblGrid>
      <w:tr w:rsidR="009B1733" w:rsidRPr="00772E03" w:rsidTr="00634629">
        <w:trPr>
          <w:trHeight w:val="1275"/>
          <w:jc w:val="center"/>
        </w:trPr>
        <w:tc>
          <w:tcPr>
            <w:tcW w:w="1441" w:type="dxa"/>
            <w:tcBorders>
              <w:top w:val="single" w:sz="4" w:space="0" w:color="auto"/>
              <w:left w:val="single" w:sz="4" w:space="0" w:color="auto"/>
              <w:bottom w:val="single" w:sz="4" w:space="0" w:color="auto"/>
              <w:right w:val="single" w:sz="4" w:space="0" w:color="auto"/>
            </w:tcBorders>
            <w:shd w:val="clear" w:color="000000" w:fill="9BBB59"/>
            <w:vAlign w:val="center"/>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Sector</w:t>
            </w:r>
          </w:p>
        </w:tc>
        <w:tc>
          <w:tcPr>
            <w:tcW w:w="1779" w:type="dxa"/>
            <w:tcBorders>
              <w:top w:val="single" w:sz="4" w:space="0" w:color="auto"/>
              <w:left w:val="nil"/>
              <w:bottom w:val="single" w:sz="4" w:space="0" w:color="auto"/>
              <w:right w:val="single" w:sz="4" w:space="0" w:color="auto"/>
            </w:tcBorders>
            <w:shd w:val="clear" w:color="000000" w:fill="9BBB59"/>
            <w:vAlign w:val="center"/>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Coeficiente de Especialización (empleo)</w:t>
            </w:r>
          </w:p>
        </w:tc>
        <w:tc>
          <w:tcPr>
            <w:tcW w:w="929" w:type="dxa"/>
            <w:tcBorders>
              <w:top w:val="single" w:sz="4" w:space="0" w:color="auto"/>
              <w:left w:val="nil"/>
              <w:bottom w:val="single" w:sz="4" w:space="0" w:color="auto"/>
              <w:right w:val="single" w:sz="4" w:space="0" w:color="auto"/>
            </w:tcBorders>
            <w:shd w:val="clear" w:color="000000" w:fill="9BBB59"/>
            <w:vAlign w:val="center"/>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Lugar a nivel estatal</w:t>
            </w:r>
          </w:p>
        </w:tc>
        <w:tc>
          <w:tcPr>
            <w:tcW w:w="1779" w:type="dxa"/>
            <w:tcBorders>
              <w:top w:val="single" w:sz="4" w:space="0" w:color="auto"/>
              <w:left w:val="nil"/>
              <w:bottom w:val="single" w:sz="4" w:space="0" w:color="auto"/>
              <w:right w:val="single" w:sz="4" w:space="0" w:color="auto"/>
            </w:tcBorders>
            <w:shd w:val="clear" w:color="000000" w:fill="9BBB59"/>
            <w:vAlign w:val="center"/>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Coeficiente de Especialización (PIB)</w:t>
            </w:r>
          </w:p>
        </w:tc>
        <w:tc>
          <w:tcPr>
            <w:tcW w:w="929" w:type="dxa"/>
            <w:tcBorders>
              <w:top w:val="single" w:sz="4" w:space="0" w:color="auto"/>
              <w:left w:val="nil"/>
              <w:bottom w:val="single" w:sz="4" w:space="0" w:color="auto"/>
              <w:right w:val="single" w:sz="4" w:space="0" w:color="auto"/>
            </w:tcBorders>
            <w:shd w:val="clear" w:color="000000" w:fill="9BBB59"/>
            <w:vAlign w:val="center"/>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Lugar a nivel estatal</w:t>
            </w:r>
          </w:p>
        </w:tc>
      </w:tr>
      <w:tr w:rsidR="009B1733" w:rsidRPr="00772E03" w:rsidTr="00634629">
        <w:trPr>
          <w:trHeight w:val="300"/>
          <w:jc w:val="center"/>
        </w:trPr>
        <w:tc>
          <w:tcPr>
            <w:tcW w:w="1441" w:type="dxa"/>
            <w:tcBorders>
              <w:top w:val="nil"/>
              <w:left w:val="single" w:sz="4" w:space="0" w:color="auto"/>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b/>
                <w:bCs/>
                <w:color w:val="000000"/>
                <w:sz w:val="20"/>
                <w:szCs w:val="20"/>
                <w:lang w:eastAsia="es-MX" w:bidi="hi-IN"/>
              </w:rPr>
            </w:pPr>
            <w:r w:rsidRPr="00772E03">
              <w:rPr>
                <w:rFonts w:asciiTheme="minorHAnsi" w:eastAsia="Times New Roman" w:hAnsiTheme="minorHAnsi" w:cstheme="minorHAnsi"/>
                <w:b/>
                <w:bCs/>
                <w:color w:val="000000"/>
                <w:sz w:val="20"/>
                <w:szCs w:val="20"/>
                <w:lang w:eastAsia="es-MX" w:bidi="hi-IN"/>
              </w:rPr>
              <w:t>Minería</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0.04</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34</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0.01</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32</w:t>
            </w:r>
          </w:p>
        </w:tc>
      </w:tr>
      <w:tr w:rsidR="009B1733" w:rsidRPr="00772E03" w:rsidTr="00634629">
        <w:trPr>
          <w:trHeight w:val="300"/>
          <w:jc w:val="center"/>
        </w:trPr>
        <w:tc>
          <w:tcPr>
            <w:tcW w:w="1441" w:type="dxa"/>
            <w:tcBorders>
              <w:top w:val="nil"/>
              <w:left w:val="single" w:sz="4" w:space="0" w:color="auto"/>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b/>
                <w:bCs/>
                <w:color w:val="000000"/>
                <w:sz w:val="20"/>
                <w:szCs w:val="20"/>
                <w:lang w:eastAsia="es-MX" w:bidi="hi-IN"/>
              </w:rPr>
            </w:pPr>
            <w:r w:rsidRPr="00772E03">
              <w:rPr>
                <w:rFonts w:asciiTheme="minorHAnsi" w:eastAsia="Times New Roman" w:hAnsiTheme="minorHAnsi" w:cstheme="minorHAnsi"/>
                <w:b/>
                <w:bCs/>
                <w:color w:val="000000"/>
                <w:sz w:val="20"/>
                <w:szCs w:val="20"/>
                <w:lang w:eastAsia="es-MX" w:bidi="hi-IN"/>
              </w:rPr>
              <w:t>Manufacturas</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1.46</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51</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1.98</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22</w:t>
            </w:r>
          </w:p>
        </w:tc>
      </w:tr>
      <w:tr w:rsidR="009B1733" w:rsidRPr="00772E03" w:rsidTr="00634629">
        <w:trPr>
          <w:trHeight w:val="300"/>
          <w:jc w:val="center"/>
        </w:trPr>
        <w:tc>
          <w:tcPr>
            <w:tcW w:w="1441" w:type="dxa"/>
            <w:tcBorders>
              <w:top w:val="nil"/>
              <w:left w:val="single" w:sz="4" w:space="0" w:color="auto"/>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b/>
                <w:bCs/>
                <w:color w:val="000000"/>
                <w:sz w:val="20"/>
                <w:szCs w:val="20"/>
                <w:lang w:eastAsia="es-MX" w:bidi="hi-IN"/>
              </w:rPr>
            </w:pPr>
            <w:r w:rsidRPr="00772E03">
              <w:rPr>
                <w:rFonts w:asciiTheme="minorHAnsi" w:eastAsia="Times New Roman" w:hAnsiTheme="minorHAnsi" w:cstheme="minorHAnsi"/>
                <w:b/>
                <w:bCs/>
                <w:color w:val="000000"/>
                <w:sz w:val="20"/>
                <w:szCs w:val="20"/>
                <w:lang w:eastAsia="es-MX" w:bidi="hi-IN"/>
              </w:rPr>
              <w:t>Comercio</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1.19</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32</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1.28</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33</w:t>
            </w:r>
          </w:p>
        </w:tc>
      </w:tr>
      <w:tr w:rsidR="009B1733" w:rsidRPr="00772E03" w:rsidTr="00634629">
        <w:trPr>
          <w:trHeight w:val="300"/>
          <w:jc w:val="center"/>
        </w:trPr>
        <w:tc>
          <w:tcPr>
            <w:tcW w:w="1441" w:type="dxa"/>
            <w:tcBorders>
              <w:top w:val="nil"/>
              <w:left w:val="single" w:sz="4" w:space="0" w:color="auto"/>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b/>
                <w:bCs/>
                <w:color w:val="000000"/>
                <w:sz w:val="20"/>
                <w:szCs w:val="20"/>
                <w:lang w:eastAsia="es-MX" w:bidi="hi-IN"/>
              </w:rPr>
            </w:pPr>
            <w:r w:rsidRPr="00772E03">
              <w:rPr>
                <w:rFonts w:asciiTheme="minorHAnsi" w:eastAsia="Times New Roman" w:hAnsiTheme="minorHAnsi" w:cstheme="minorHAnsi"/>
                <w:b/>
                <w:bCs/>
                <w:color w:val="000000"/>
                <w:sz w:val="20"/>
                <w:szCs w:val="20"/>
                <w:lang w:eastAsia="es-MX" w:bidi="hi-IN"/>
              </w:rPr>
              <w:t>Servicios</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1.01</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153</w:t>
            </w:r>
          </w:p>
        </w:tc>
        <w:tc>
          <w:tcPr>
            <w:tcW w:w="177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1.32</w:t>
            </w:r>
          </w:p>
        </w:tc>
        <w:tc>
          <w:tcPr>
            <w:tcW w:w="929" w:type="dxa"/>
            <w:tcBorders>
              <w:top w:val="nil"/>
              <w:left w:val="nil"/>
              <w:bottom w:val="single" w:sz="4" w:space="0" w:color="auto"/>
              <w:right w:val="single" w:sz="4" w:space="0" w:color="auto"/>
            </w:tcBorders>
            <w:shd w:val="clear" w:color="000000" w:fill="C2D69A"/>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73</w:t>
            </w:r>
          </w:p>
        </w:tc>
      </w:tr>
    </w:tbl>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base en esto podemos decir que el municipio de Coatzacoalcos, presenta una mayor especialización en el sector manufacturero tanto en el caso del empleo como en el valor agregado, ocupando el lugar 51 y 22 a nivel estatal respectivamente, lo cual nos explica el </w:t>
      </w:r>
      <w:r w:rsidRPr="00772E03">
        <w:rPr>
          <w:rFonts w:asciiTheme="minorHAnsi" w:hAnsiTheme="minorHAnsi" w:cstheme="minorHAnsi"/>
          <w:sz w:val="24"/>
          <w:szCs w:val="24"/>
        </w:rPr>
        <w:lastRenderedPageBreak/>
        <w:t>hecho de que este sector sea uno de los más importantes en cuanto al nivel de remuneraciones de sus empleados.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también posee una importante especialización en el sector comercio, con un coeficiente de 1.19 (empleo) y a 1.28 (Valor agregado), explicando su alta condición de prestador de servicios.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tanto que los sectores que menos especialización presentan son el minero con coeficiente de 0.04 (empleo) y 0.01 (Valor agregado) y de servicios con 1.01 (empleo) y 1.32 (Valor agregado). </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Las actividades primarias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cuenta con 1, 960 hectáreas, en las cuales se utiliza para sembrar los principales productos agrícolas como: Copra, con 1, 100 hectáreas y el maíz de grano con 860 hectáreas. El valor de esta producción asciende a $ 3,382 en el caso de la Copra y $ 3, 074 en el de maíz de grano.</w:t>
      </w:r>
    </w:p>
    <w:p w:rsidR="009B1733" w:rsidRPr="00772E03" w:rsidRDefault="009B1733" w:rsidP="009B1733">
      <w:pPr>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noProof/>
          <w:sz w:val="24"/>
          <w:szCs w:val="24"/>
          <w:lang w:eastAsia="es-MX" w:bidi="hi-IN"/>
        </w:rPr>
      </w:pPr>
      <w:r>
        <w:rPr>
          <w:rFonts w:asciiTheme="minorHAnsi" w:hAnsiTheme="minorHAnsi" w:cstheme="minorHAnsi"/>
          <w:noProof/>
          <w:sz w:val="24"/>
          <w:szCs w:val="24"/>
          <w:lang w:eastAsia="es-MX" w:bidi="hi-IN"/>
        </w:rPr>
        <w:pict>
          <v:shape id="_x0000_s1098" type="#_x0000_t202" style="position:absolute;left:0;text-align:left;margin-left:47.9pt;margin-top:204.2pt;width:318.5pt;height:13.8pt;z-index:251720704" strokecolor="white">
            <v:textbox style="mso-next-textbox:#_x0000_s1098">
              <w:txbxContent>
                <w:p w:rsidR="00912E32" w:rsidRPr="00DD5313" w:rsidRDefault="00912E32" w:rsidP="004E0886">
                  <w:pPr>
                    <w:spacing w:line="240" w:lineRule="auto"/>
                    <w:rPr>
                      <w:rFonts w:ascii="Arial" w:hAnsi="Arial" w:cs="Arial"/>
                    </w:rPr>
                  </w:pPr>
                  <w:r>
                    <w:rPr>
                      <w:rFonts w:ascii="Arial" w:hAnsi="Arial" w:cs="Arial"/>
                      <w:sz w:val="12"/>
                      <w:szCs w:val="12"/>
                    </w:rPr>
                    <w:t>Fuente: Servicio de Información y Estadística Agroalimentaria y Pesquera. 2005. SAGARPA.</w:t>
                  </w:r>
                </w:p>
              </w:txbxContent>
            </v:textbox>
          </v:shape>
        </w:pict>
      </w:r>
      <w:r w:rsidR="009B1733" w:rsidRPr="00772E03">
        <w:rPr>
          <w:rFonts w:asciiTheme="minorHAnsi" w:hAnsiTheme="minorHAnsi" w:cstheme="minorHAnsi"/>
          <w:noProof/>
          <w:sz w:val="24"/>
          <w:szCs w:val="24"/>
          <w:lang w:eastAsia="es-MX"/>
        </w:rPr>
        <w:drawing>
          <wp:inline distT="0" distB="0" distL="0" distR="0">
            <wp:extent cx="4570222" cy="2745359"/>
            <wp:effectExtent l="57150" t="19050" r="77978" b="54991"/>
            <wp:docPr id="264" name="Gráfic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9B1733" w:rsidRPr="00772E03" w:rsidRDefault="009B1733" w:rsidP="009B1733">
      <w:pPr>
        <w:jc w:val="both"/>
        <w:rPr>
          <w:rFonts w:asciiTheme="minorHAnsi" w:hAnsiTheme="minorHAnsi" w:cstheme="minorHAnsi"/>
          <w:noProof/>
          <w:sz w:val="24"/>
          <w:szCs w:val="24"/>
          <w:lang w:eastAsia="es-MX" w:bidi="hi-IN"/>
        </w:rPr>
      </w:pPr>
    </w:p>
    <w:p w:rsidR="009B1733" w:rsidRPr="00772E03" w:rsidRDefault="009B1733" w:rsidP="009B1733">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 xml:space="preserve">En el rubro de ganadería, Coatzacoalcos registra 33 mil 115 cabezas de ganado; de las cuales el 70.2% corresponde a ganado bovino de doble proposito y el resto se reparte entre ganado porcino, ovino y equino. </w:t>
      </w: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29" type="#_x0000_t202" style="position:absolute;left:0;text-align:left;margin-left:218.05pt;margin-top:196.85pt;width:174pt;height:18.75pt;z-index:251751424" stroked="f">
            <v:textbox style="mso-next-textbox:#_x0000_s1129">
              <w:txbxContent>
                <w:p w:rsidR="00912E32" w:rsidRPr="00037965" w:rsidRDefault="00912E32" w:rsidP="003E7DE8">
                  <w:pPr>
                    <w:jc w:val="right"/>
                    <w:rPr>
                      <w:sz w:val="18"/>
                      <w:szCs w:val="18"/>
                    </w:rPr>
                  </w:pPr>
                  <w:r w:rsidRPr="00037965">
                    <w:rPr>
                      <w:sz w:val="18"/>
                      <w:szCs w:val="18"/>
                    </w:rPr>
                    <w:t>Fue</w:t>
                  </w:r>
                  <w:r>
                    <w:rPr>
                      <w:sz w:val="18"/>
                      <w:szCs w:val="18"/>
                    </w:rPr>
                    <w:t>nte: Censo Económico 2004,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570222" cy="2745359"/>
            <wp:effectExtent l="57150" t="19050" r="77978" b="54991"/>
            <wp:docPr id="265"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5A6972" w:rsidRPr="00772E03" w:rsidRDefault="005A6972" w:rsidP="009B1733">
      <w:pPr>
        <w:spacing w:line="360" w:lineRule="auto"/>
        <w:jc w:val="both"/>
        <w:rPr>
          <w:rFonts w:asciiTheme="minorHAnsi" w:hAnsiTheme="minorHAnsi" w:cstheme="minorHAnsi"/>
          <w:noProof/>
          <w:sz w:val="24"/>
          <w:szCs w:val="24"/>
          <w:lang w:eastAsia="es-MX" w:bidi="hi-IN"/>
        </w:rPr>
      </w:pPr>
    </w:p>
    <w:p w:rsidR="009B1733" w:rsidRPr="00772E03" w:rsidRDefault="009B1733" w:rsidP="009B1733">
      <w:pPr>
        <w:spacing w:line="360" w:lineRule="auto"/>
        <w:jc w:val="both"/>
        <w:rPr>
          <w:rFonts w:asciiTheme="minorHAnsi" w:hAnsiTheme="minorHAnsi" w:cstheme="minorHAnsi"/>
          <w:noProof/>
          <w:sz w:val="24"/>
          <w:szCs w:val="24"/>
          <w:lang w:eastAsia="es-MX" w:bidi="hi-IN"/>
        </w:rPr>
      </w:pPr>
      <w:r w:rsidRPr="00772E03">
        <w:rPr>
          <w:rFonts w:asciiTheme="minorHAnsi" w:hAnsiTheme="minorHAnsi" w:cstheme="minorHAnsi"/>
          <w:noProof/>
          <w:sz w:val="24"/>
          <w:szCs w:val="24"/>
          <w:lang w:eastAsia="es-MX" w:bidi="hi-IN"/>
        </w:rPr>
        <w:t>El valor de la producción representa 40 millones 185 mil pesos, del cual el 54.5% es generado por el ganado bovino de doble propósito y el 27.8% es bovino para leche. Sin embargo la producción avícola, suma 6 mil 180 cabezas, de las cuales el 80% son gallináceas y el 20% guajolotes, por lo tanto, juntas conforman un valor de producción de 711 pesos.</w:t>
      </w:r>
    </w:p>
    <w:tbl>
      <w:tblPr>
        <w:tblW w:w="7420" w:type="dxa"/>
        <w:jc w:val="center"/>
        <w:tblCellMar>
          <w:left w:w="70" w:type="dxa"/>
          <w:right w:w="70" w:type="dxa"/>
        </w:tblCellMar>
        <w:tblLook w:val="04A0"/>
      </w:tblPr>
      <w:tblGrid>
        <w:gridCol w:w="2920"/>
        <w:gridCol w:w="1420"/>
        <w:gridCol w:w="1540"/>
        <w:gridCol w:w="1540"/>
      </w:tblGrid>
      <w:tr w:rsidR="009B1733" w:rsidRPr="00772E03" w:rsidTr="007D2A80">
        <w:trPr>
          <w:trHeight w:val="300"/>
          <w:jc w:val="center"/>
        </w:trPr>
        <w:tc>
          <w:tcPr>
            <w:tcW w:w="7420" w:type="dxa"/>
            <w:gridSpan w:val="4"/>
            <w:tcBorders>
              <w:top w:val="single" w:sz="4" w:space="0" w:color="auto"/>
              <w:left w:val="single" w:sz="4" w:space="0" w:color="auto"/>
              <w:bottom w:val="single" w:sz="4" w:space="0" w:color="auto"/>
              <w:right w:val="single" w:sz="4" w:space="0" w:color="auto"/>
            </w:tcBorders>
            <w:shd w:val="clear" w:color="auto" w:fill="9BBB59" w:themeFill="accent3"/>
            <w:noWrap/>
            <w:vAlign w:val="bottom"/>
            <w:hideMark/>
          </w:tcPr>
          <w:p w:rsidR="009B1733" w:rsidRPr="00772E03" w:rsidRDefault="009B1733" w:rsidP="00832F98">
            <w:pPr>
              <w:spacing w:after="0" w:line="240" w:lineRule="auto"/>
              <w:jc w:val="center"/>
              <w:rPr>
                <w:rFonts w:asciiTheme="minorHAnsi" w:eastAsia="Times New Roman" w:hAnsiTheme="minorHAnsi" w:cstheme="minorHAnsi"/>
                <w:b/>
                <w:bCs/>
                <w:color w:val="FFFFFF"/>
                <w:lang w:eastAsia="es-MX" w:bidi="hi-IN"/>
              </w:rPr>
            </w:pPr>
            <w:r w:rsidRPr="00772E03">
              <w:rPr>
                <w:rFonts w:asciiTheme="minorHAnsi" w:eastAsia="Times New Roman" w:hAnsiTheme="minorHAnsi" w:cstheme="minorHAnsi"/>
                <w:b/>
                <w:bCs/>
                <w:color w:val="FFFFFF"/>
                <w:lang w:eastAsia="es-MX" w:bidi="hi-IN"/>
              </w:rPr>
              <w:t>COATZACOALCOS PRODUCCIÓN GANADERA Y AVÍCOLA. 2005</w:t>
            </w:r>
          </w:p>
        </w:tc>
      </w:tr>
      <w:tr w:rsidR="009B1733" w:rsidRPr="00772E03" w:rsidTr="007D2A80">
        <w:trPr>
          <w:trHeight w:val="45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vAlign w:val="center"/>
            <w:hideMark/>
          </w:tcPr>
          <w:p w:rsidR="009B1733" w:rsidRPr="00772E03" w:rsidRDefault="009B1733" w:rsidP="00832F98">
            <w:pPr>
              <w:spacing w:after="0" w:line="240" w:lineRule="auto"/>
              <w:jc w:val="center"/>
              <w:rPr>
                <w:rFonts w:asciiTheme="minorHAnsi" w:eastAsia="Times New Roman" w:hAnsiTheme="minorHAnsi" w:cstheme="minorHAnsi"/>
                <w:b/>
                <w:bCs/>
                <w:lang w:eastAsia="es-MX" w:bidi="hi-IN"/>
              </w:rPr>
            </w:pPr>
            <w:r w:rsidRPr="00772E03">
              <w:rPr>
                <w:rFonts w:asciiTheme="minorHAnsi" w:eastAsia="Times New Roman" w:hAnsiTheme="minorHAnsi" w:cstheme="minorHAnsi"/>
                <w:b/>
                <w:bCs/>
                <w:lang w:eastAsia="es-MX" w:bidi="hi-IN"/>
              </w:rPr>
              <w:t xml:space="preserve"> Especie </w:t>
            </w:r>
          </w:p>
        </w:tc>
        <w:tc>
          <w:tcPr>
            <w:tcW w:w="1420" w:type="dxa"/>
            <w:tcBorders>
              <w:top w:val="nil"/>
              <w:left w:val="nil"/>
              <w:bottom w:val="single" w:sz="4" w:space="0" w:color="auto"/>
              <w:right w:val="single" w:sz="4" w:space="0" w:color="auto"/>
            </w:tcBorders>
            <w:shd w:val="clear" w:color="auto" w:fill="C2D69B" w:themeFill="accent3" w:themeFillTint="99"/>
            <w:vAlign w:val="center"/>
            <w:hideMark/>
          </w:tcPr>
          <w:p w:rsidR="009B1733" w:rsidRPr="00772E03" w:rsidRDefault="009B1733" w:rsidP="00832F98">
            <w:pPr>
              <w:spacing w:after="0" w:line="240" w:lineRule="auto"/>
              <w:jc w:val="center"/>
              <w:rPr>
                <w:rFonts w:asciiTheme="minorHAnsi" w:eastAsia="Times New Roman" w:hAnsiTheme="minorHAnsi" w:cstheme="minorHAnsi"/>
                <w:b/>
                <w:bCs/>
                <w:lang w:eastAsia="es-MX" w:bidi="hi-IN"/>
              </w:rPr>
            </w:pPr>
            <w:r w:rsidRPr="00772E03">
              <w:rPr>
                <w:rFonts w:asciiTheme="minorHAnsi" w:eastAsia="Times New Roman" w:hAnsiTheme="minorHAnsi" w:cstheme="minorHAnsi"/>
                <w:b/>
                <w:bCs/>
                <w:lang w:eastAsia="es-MX" w:bidi="hi-IN"/>
              </w:rPr>
              <w:t xml:space="preserve"> Producción (cabezas) </w:t>
            </w:r>
          </w:p>
        </w:tc>
        <w:tc>
          <w:tcPr>
            <w:tcW w:w="1540" w:type="dxa"/>
            <w:tcBorders>
              <w:top w:val="nil"/>
              <w:left w:val="nil"/>
              <w:bottom w:val="single" w:sz="4" w:space="0" w:color="auto"/>
              <w:right w:val="single" w:sz="4" w:space="0" w:color="auto"/>
            </w:tcBorders>
            <w:shd w:val="clear" w:color="auto" w:fill="C2D69B" w:themeFill="accent3" w:themeFillTint="99"/>
            <w:vAlign w:val="center"/>
            <w:hideMark/>
          </w:tcPr>
          <w:p w:rsidR="009B1733" w:rsidRPr="00772E03" w:rsidRDefault="009B1733" w:rsidP="00832F98">
            <w:pPr>
              <w:spacing w:after="0" w:line="240" w:lineRule="auto"/>
              <w:jc w:val="center"/>
              <w:rPr>
                <w:rFonts w:asciiTheme="minorHAnsi" w:eastAsia="Times New Roman" w:hAnsiTheme="minorHAnsi" w:cstheme="minorHAnsi"/>
                <w:b/>
                <w:bCs/>
                <w:lang w:eastAsia="es-MX" w:bidi="hi-IN"/>
              </w:rPr>
            </w:pPr>
            <w:r w:rsidRPr="00772E03">
              <w:rPr>
                <w:rFonts w:asciiTheme="minorHAnsi" w:eastAsia="Times New Roman" w:hAnsiTheme="minorHAnsi" w:cstheme="minorHAnsi"/>
                <w:b/>
                <w:bCs/>
                <w:lang w:eastAsia="es-MX" w:bidi="hi-IN"/>
              </w:rPr>
              <w:t xml:space="preserve"> Producción (toneladas) </w:t>
            </w:r>
          </w:p>
        </w:tc>
        <w:tc>
          <w:tcPr>
            <w:tcW w:w="1540" w:type="dxa"/>
            <w:tcBorders>
              <w:top w:val="nil"/>
              <w:left w:val="nil"/>
              <w:bottom w:val="single" w:sz="4" w:space="0" w:color="auto"/>
              <w:right w:val="single" w:sz="4" w:space="0" w:color="auto"/>
            </w:tcBorders>
            <w:shd w:val="clear" w:color="auto" w:fill="C2D69B" w:themeFill="accent3" w:themeFillTint="99"/>
            <w:vAlign w:val="center"/>
            <w:hideMark/>
          </w:tcPr>
          <w:p w:rsidR="009B1733" w:rsidRPr="00772E03" w:rsidRDefault="009B1733" w:rsidP="00832F98">
            <w:pPr>
              <w:spacing w:after="0" w:line="240" w:lineRule="auto"/>
              <w:jc w:val="center"/>
              <w:rPr>
                <w:rFonts w:asciiTheme="minorHAnsi" w:eastAsia="Times New Roman" w:hAnsiTheme="minorHAnsi" w:cstheme="minorHAnsi"/>
                <w:b/>
                <w:bCs/>
                <w:lang w:eastAsia="es-MX" w:bidi="hi-IN"/>
              </w:rPr>
            </w:pPr>
            <w:r w:rsidRPr="00772E03">
              <w:rPr>
                <w:rFonts w:asciiTheme="minorHAnsi" w:eastAsia="Times New Roman" w:hAnsiTheme="minorHAnsi" w:cstheme="minorHAnsi"/>
                <w:b/>
                <w:bCs/>
                <w:lang w:eastAsia="es-MX" w:bidi="hi-IN"/>
              </w:rPr>
              <w:t xml:space="preserve"> Valor             (miles de pesos) </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b/>
                <w:bCs/>
                <w:color w:val="000000"/>
                <w:lang w:eastAsia="es-MX" w:bidi="hi-IN"/>
              </w:rPr>
            </w:pPr>
            <w:r w:rsidRPr="00772E03">
              <w:rPr>
                <w:rFonts w:asciiTheme="minorHAnsi" w:eastAsia="Times New Roman" w:hAnsiTheme="minorHAnsi" w:cstheme="minorHAnsi"/>
                <w:b/>
                <w:bCs/>
                <w:color w:val="000000"/>
                <w:lang w:eastAsia="es-MX" w:bidi="hi-IN"/>
              </w:rPr>
              <w:t>Ganadera</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Bovino de doble propósito</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23,266</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1,088</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21,912</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Bovino para leche</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4,093</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11,177</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Porcino</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5,735</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307</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5,483</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Ovino</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3,249</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44</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1,613</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lastRenderedPageBreak/>
              <w:t>Caprino</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0</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proofErr w:type="spellStart"/>
            <w:r w:rsidRPr="00772E03">
              <w:rPr>
                <w:rFonts w:asciiTheme="minorHAnsi" w:eastAsia="Times New Roman" w:hAnsiTheme="minorHAnsi" w:cstheme="minorHAnsi"/>
                <w:color w:val="000000"/>
                <w:lang w:eastAsia="es-MX" w:bidi="hi-IN"/>
              </w:rPr>
              <w:t>Équino</w:t>
            </w:r>
            <w:proofErr w:type="spellEnd"/>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865</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NA</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NA</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b/>
                <w:bCs/>
                <w:color w:val="000000"/>
                <w:lang w:eastAsia="es-MX" w:bidi="hi-IN"/>
              </w:rPr>
            </w:pPr>
            <w:r w:rsidRPr="00772E03">
              <w:rPr>
                <w:rFonts w:asciiTheme="minorHAnsi" w:eastAsia="Times New Roman" w:hAnsiTheme="minorHAnsi" w:cstheme="minorHAnsi"/>
                <w:b/>
                <w:bCs/>
                <w:color w:val="000000"/>
                <w:lang w:eastAsia="es-MX" w:bidi="hi-IN"/>
              </w:rPr>
              <w:t>Avícola</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 </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Gallináceas</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4,944</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18</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288</w:t>
            </w:r>
          </w:p>
        </w:tc>
      </w:tr>
      <w:tr w:rsidR="009B1733" w:rsidRPr="00772E03" w:rsidTr="007D2A80">
        <w:trPr>
          <w:trHeight w:val="300"/>
          <w:jc w:val="center"/>
        </w:trPr>
        <w:tc>
          <w:tcPr>
            <w:tcW w:w="2920" w:type="dxa"/>
            <w:tcBorders>
              <w:top w:val="nil"/>
              <w:left w:val="single" w:sz="4" w:space="0" w:color="auto"/>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Guajolotes</w:t>
            </w:r>
          </w:p>
        </w:tc>
        <w:tc>
          <w:tcPr>
            <w:tcW w:w="142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1,236</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10</w:t>
            </w:r>
          </w:p>
        </w:tc>
        <w:tc>
          <w:tcPr>
            <w:tcW w:w="1540" w:type="dxa"/>
            <w:tcBorders>
              <w:top w:val="nil"/>
              <w:left w:val="nil"/>
              <w:bottom w:val="single" w:sz="4" w:space="0" w:color="auto"/>
              <w:right w:val="single" w:sz="4" w:space="0" w:color="auto"/>
            </w:tcBorders>
            <w:shd w:val="clear" w:color="auto" w:fill="C2D69B" w:themeFill="accent3" w:themeFillTint="99"/>
            <w:noWrap/>
            <w:vAlign w:val="bottom"/>
            <w:hideMark/>
          </w:tcPr>
          <w:p w:rsidR="009B1733" w:rsidRPr="00772E03" w:rsidRDefault="009B1733" w:rsidP="00832F98">
            <w:pPr>
              <w:spacing w:after="0" w:line="240" w:lineRule="auto"/>
              <w:jc w:val="center"/>
              <w:rPr>
                <w:rFonts w:asciiTheme="minorHAnsi" w:eastAsia="Times New Roman" w:hAnsiTheme="minorHAnsi" w:cstheme="minorHAnsi"/>
                <w:color w:val="000000"/>
                <w:lang w:eastAsia="es-MX" w:bidi="hi-IN"/>
              </w:rPr>
            </w:pPr>
            <w:r w:rsidRPr="00772E03">
              <w:rPr>
                <w:rFonts w:asciiTheme="minorHAnsi" w:eastAsia="Times New Roman" w:hAnsiTheme="minorHAnsi" w:cstheme="minorHAnsi"/>
                <w:color w:val="000000"/>
                <w:lang w:eastAsia="es-MX" w:bidi="hi-IN"/>
              </w:rPr>
              <w:t>423</w:t>
            </w:r>
          </w:p>
        </w:tc>
      </w:tr>
    </w:tbl>
    <w:p w:rsidR="009B1733" w:rsidRPr="00772E03" w:rsidRDefault="009B1733" w:rsidP="009B1733">
      <w:pPr>
        <w:tabs>
          <w:tab w:val="left" w:pos="2828"/>
        </w:tabs>
        <w:rPr>
          <w:rFonts w:asciiTheme="minorHAnsi" w:hAnsiTheme="minorHAnsi" w:cstheme="minorHAnsi"/>
          <w:sz w:val="24"/>
          <w:szCs w:val="24"/>
        </w:rPr>
      </w:pPr>
    </w:p>
    <w:p w:rsidR="005A6972" w:rsidRPr="00772E03" w:rsidRDefault="005A6972" w:rsidP="00832F98">
      <w:pPr>
        <w:spacing w:line="360" w:lineRule="auto"/>
        <w:jc w:val="both"/>
        <w:rPr>
          <w:rFonts w:asciiTheme="minorHAnsi" w:hAnsiTheme="minorHAnsi" w:cstheme="minorHAnsi"/>
          <w:b/>
          <w:sz w:val="24"/>
          <w:szCs w:val="24"/>
        </w:rPr>
      </w:pPr>
    </w:p>
    <w:p w:rsidR="00832F98" w:rsidRPr="00772E03" w:rsidRDefault="00832F98" w:rsidP="00832F98">
      <w:pPr>
        <w:spacing w:line="360" w:lineRule="auto"/>
        <w:jc w:val="both"/>
        <w:rPr>
          <w:rFonts w:asciiTheme="minorHAnsi" w:hAnsiTheme="minorHAnsi" w:cstheme="minorHAnsi"/>
          <w:b/>
          <w:sz w:val="24"/>
          <w:szCs w:val="24"/>
        </w:rPr>
      </w:pPr>
      <w:r w:rsidRPr="00772E03">
        <w:rPr>
          <w:rFonts w:asciiTheme="minorHAnsi" w:hAnsiTheme="minorHAnsi" w:cstheme="minorHAnsi"/>
          <w:b/>
          <w:sz w:val="24"/>
          <w:szCs w:val="24"/>
        </w:rPr>
        <w:t>Ejidos y comunidades</w:t>
      </w:r>
    </w:p>
    <w:p w:rsidR="00832F98" w:rsidRPr="00772E03" w:rsidRDefault="00832F98" w:rsidP="00832F98">
      <w:pPr>
        <w:spacing w:line="360" w:lineRule="auto"/>
        <w:jc w:val="both"/>
        <w:rPr>
          <w:rFonts w:asciiTheme="minorHAnsi" w:hAnsiTheme="minorHAnsi" w:cstheme="minorHAnsi"/>
          <w:color w:val="000000"/>
          <w:sz w:val="24"/>
          <w:szCs w:val="24"/>
          <w:lang w:eastAsia="es-MX"/>
        </w:rPr>
      </w:pPr>
      <w:r w:rsidRPr="00772E03">
        <w:rPr>
          <w:rFonts w:asciiTheme="minorHAnsi" w:hAnsiTheme="minorHAnsi" w:cstheme="minorHAnsi"/>
          <w:sz w:val="24"/>
          <w:szCs w:val="24"/>
        </w:rPr>
        <w:t>En el municipio de Coatzacoalcos, la mayor parte de los ejidos</w:t>
      </w:r>
      <w:r w:rsidR="00196E3A" w:rsidRPr="00772E03">
        <w:rPr>
          <w:rStyle w:val="Refdenotaalpie"/>
          <w:rFonts w:asciiTheme="minorHAnsi" w:hAnsiTheme="minorHAnsi" w:cstheme="minorHAnsi"/>
        </w:rPr>
        <w:footnoteReference w:id="5"/>
      </w:r>
      <w:r w:rsidRPr="00772E03">
        <w:rPr>
          <w:rFonts w:asciiTheme="minorHAnsi" w:hAnsiTheme="minorHAnsi" w:cstheme="minorHAnsi"/>
          <w:sz w:val="24"/>
          <w:szCs w:val="24"/>
        </w:rPr>
        <w:t xml:space="preserve"> y comunidades</w:t>
      </w:r>
      <w:r w:rsidR="00196E3A" w:rsidRPr="00772E03">
        <w:rPr>
          <w:rStyle w:val="Refdenotaalpie"/>
          <w:rFonts w:asciiTheme="minorHAnsi" w:hAnsiTheme="minorHAnsi" w:cstheme="minorHAnsi"/>
        </w:rPr>
        <w:footnoteReference w:id="6"/>
      </w:r>
      <w:r w:rsidR="00196E3A" w:rsidRPr="00772E03">
        <w:rPr>
          <w:rFonts w:asciiTheme="minorHAnsi" w:hAnsiTheme="minorHAnsi" w:cstheme="minorHAnsi"/>
          <w:sz w:val="24"/>
          <w:szCs w:val="24"/>
        </w:rPr>
        <w:t xml:space="preserve"> </w:t>
      </w:r>
      <w:r w:rsidRPr="00772E03">
        <w:rPr>
          <w:rFonts w:asciiTheme="minorHAnsi" w:hAnsiTheme="minorHAnsi" w:cstheme="minorHAnsi"/>
          <w:sz w:val="24"/>
          <w:szCs w:val="24"/>
        </w:rPr>
        <w:t xml:space="preserve"> </w:t>
      </w:r>
      <w:r w:rsidR="00BE5F46" w:rsidRPr="00772E03">
        <w:rPr>
          <w:rFonts w:asciiTheme="minorHAnsi" w:hAnsiTheme="minorHAnsi" w:cstheme="minorHAnsi"/>
          <w:sz w:val="24"/>
          <w:szCs w:val="24"/>
        </w:rPr>
        <w:t>es</w:t>
      </w:r>
      <w:r w:rsidRPr="00772E03">
        <w:rPr>
          <w:rFonts w:asciiTheme="minorHAnsi" w:hAnsiTheme="minorHAnsi" w:cstheme="minorHAnsi"/>
          <w:sz w:val="24"/>
          <w:szCs w:val="24"/>
        </w:rPr>
        <w:t xml:space="preserve"> superficie parcelada, ya que </w:t>
      </w:r>
      <w:r w:rsidR="00BE5F46" w:rsidRPr="00772E03">
        <w:rPr>
          <w:rFonts w:asciiTheme="minorHAnsi" w:hAnsiTheme="minorHAnsi" w:cstheme="minorHAnsi"/>
          <w:sz w:val="24"/>
          <w:szCs w:val="24"/>
        </w:rPr>
        <w:t xml:space="preserve">ésta </w:t>
      </w:r>
      <w:r w:rsidRPr="00772E03">
        <w:rPr>
          <w:rFonts w:asciiTheme="minorHAnsi" w:hAnsiTheme="minorHAnsi" w:cstheme="minorHAnsi"/>
          <w:sz w:val="24"/>
          <w:szCs w:val="24"/>
        </w:rPr>
        <w:t>representa una superficie de</w:t>
      </w:r>
      <w:r w:rsidRPr="00772E03">
        <w:rPr>
          <w:rFonts w:asciiTheme="minorHAnsi" w:hAnsiTheme="minorHAnsi" w:cstheme="minorHAnsi"/>
          <w:color w:val="000000"/>
          <w:sz w:val="24"/>
          <w:szCs w:val="24"/>
        </w:rPr>
        <w:t xml:space="preserve"> </w:t>
      </w:r>
      <w:r w:rsidRPr="00772E03">
        <w:rPr>
          <w:rFonts w:asciiTheme="minorHAnsi" w:hAnsiTheme="minorHAnsi" w:cstheme="minorHAnsi"/>
          <w:color w:val="000000"/>
          <w:sz w:val="24"/>
          <w:szCs w:val="24"/>
          <w:lang w:eastAsia="es-MX"/>
        </w:rPr>
        <w:t>6 mil</w:t>
      </w:r>
      <w:r w:rsidR="00BE5F46" w:rsidRPr="00772E03">
        <w:rPr>
          <w:rFonts w:asciiTheme="minorHAnsi" w:hAnsiTheme="minorHAnsi" w:cstheme="minorHAnsi"/>
          <w:color w:val="000000"/>
          <w:sz w:val="24"/>
          <w:szCs w:val="24"/>
          <w:lang w:eastAsia="es-MX"/>
        </w:rPr>
        <w:t xml:space="preserve"> 886 hectáreas, es decir el 92% del total.</w:t>
      </w:r>
    </w:p>
    <w:p w:rsidR="00832F98" w:rsidRPr="00772E03" w:rsidRDefault="00832F98" w:rsidP="00832F98">
      <w:pPr>
        <w:spacing w:line="360" w:lineRule="auto"/>
        <w:jc w:val="both"/>
        <w:rPr>
          <w:rFonts w:asciiTheme="minorHAnsi" w:hAnsiTheme="minorHAnsi" w:cstheme="minorHAnsi"/>
          <w:color w:val="000000"/>
          <w:sz w:val="24"/>
          <w:szCs w:val="24"/>
          <w:lang w:eastAsia="es-MX"/>
        </w:rPr>
      </w:pPr>
      <w:r w:rsidRPr="00772E03">
        <w:rPr>
          <w:rFonts w:asciiTheme="minorHAnsi" w:hAnsiTheme="minorHAnsi" w:cstheme="minorHAnsi"/>
          <w:sz w:val="24"/>
          <w:szCs w:val="24"/>
        </w:rPr>
        <w:t>De la superficie no parcelada el 4% (337 hectáreas) es de uso común y el 3% (</w:t>
      </w:r>
      <w:r w:rsidRPr="00772E03">
        <w:rPr>
          <w:rFonts w:asciiTheme="minorHAnsi" w:hAnsiTheme="minorHAnsi" w:cstheme="minorHAnsi"/>
          <w:color w:val="000000"/>
          <w:sz w:val="24"/>
          <w:szCs w:val="24"/>
          <w:lang w:eastAsia="es-MX"/>
        </w:rPr>
        <w:t>216</w:t>
      </w:r>
      <w:r w:rsidR="009E0FB9" w:rsidRPr="00772E03">
        <w:rPr>
          <w:rFonts w:asciiTheme="minorHAnsi" w:hAnsiTheme="minorHAnsi" w:cstheme="minorHAnsi"/>
          <w:sz w:val="24"/>
          <w:szCs w:val="24"/>
        </w:rPr>
        <w:t xml:space="preserve"> hectáreas) es utilizado como</w:t>
      </w:r>
      <w:r w:rsidRPr="00772E03">
        <w:rPr>
          <w:rFonts w:asciiTheme="minorHAnsi" w:hAnsiTheme="minorHAnsi" w:cstheme="minorHAnsi"/>
          <w:sz w:val="24"/>
          <w:szCs w:val="24"/>
        </w:rPr>
        <w:t xml:space="preserve"> as</w:t>
      </w:r>
      <w:r w:rsidR="009E0FB9" w:rsidRPr="00772E03">
        <w:rPr>
          <w:rFonts w:asciiTheme="minorHAnsi" w:hAnsiTheme="minorHAnsi" w:cstheme="minorHAnsi"/>
          <w:sz w:val="24"/>
          <w:szCs w:val="24"/>
        </w:rPr>
        <w:t xml:space="preserve">entamiento humano, mientras que el resto de las superficies ocupa el 1% </w:t>
      </w:r>
      <w:r w:rsidRPr="00772E03">
        <w:rPr>
          <w:rFonts w:asciiTheme="minorHAnsi" w:hAnsiTheme="minorHAnsi" w:cstheme="minorHAnsi"/>
          <w:sz w:val="24"/>
          <w:szCs w:val="24"/>
        </w:rPr>
        <w:t>(80 hectáreas)</w:t>
      </w:r>
      <w:r w:rsidR="009E0FB9" w:rsidRPr="00772E03">
        <w:rPr>
          <w:rFonts w:asciiTheme="minorHAnsi" w:hAnsiTheme="minorHAnsi" w:cstheme="minorHAnsi"/>
          <w:sz w:val="24"/>
          <w:szCs w:val="24"/>
        </w:rPr>
        <w:t>.</w:t>
      </w: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30" type="#_x0000_t202" style="position:absolute;left:0;text-align:left;margin-left:58.75pt;margin-top:182.6pt;width:318.5pt;height:16.25pt;z-index:251752448" stroked="f">
            <v:textbox style="mso-next-textbox:#_x0000_s1130">
              <w:txbxContent>
                <w:p w:rsidR="00912E32" w:rsidRPr="003E7DE8" w:rsidRDefault="00912E32" w:rsidP="003E7DE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308044" cy="2512441"/>
            <wp:effectExtent l="57150" t="19050" r="73456" b="59309"/>
            <wp:docPr id="4" name="Gráfico 1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32F98" w:rsidRPr="00772E03" w:rsidRDefault="00832F98" w:rsidP="00832F98">
      <w:pPr>
        <w:jc w:val="center"/>
        <w:rPr>
          <w:rFonts w:asciiTheme="minorHAnsi" w:hAnsiTheme="minorHAnsi" w:cstheme="minorHAnsi"/>
          <w:sz w:val="24"/>
          <w:szCs w:val="24"/>
        </w:rPr>
      </w:pPr>
    </w:p>
    <w:p w:rsidR="00832F98" w:rsidRPr="00772E03" w:rsidRDefault="00832F98" w:rsidP="007631BB">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Del total de ejidatarios y comuneros</w:t>
      </w:r>
      <w:r w:rsidR="009E0FB9" w:rsidRPr="00772E03">
        <w:rPr>
          <w:rFonts w:asciiTheme="minorHAnsi" w:hAnsiTheme="minorHAnsi" w:cstheme="minorHAnsi"/>
          <w:sz w:val="24"/>
          <w:szCs w:val="24"/>
        </w:rPr>
        <w:t>,</w:t>
      </w:r>
      <w:r w:rsidRPr="00772E03">
        <w:rPr>
          <w:rFonts w:asciiTheme="minorHAnsi" w:hAnsiTheme="minorHAnsi" w:cstheme="minorHAnsi"/>
          <w:sz w:val="24"/>
          <w:szCs w:val="24"/>
        </w:rPr>
        <w:t xml:space="preserve"> el 82% son hombres, es decir 350, mient</w:t>
      </w:r>
      <w:r w:rsidR="009E0FB9" w:rsidRPr="00772E03">
        <w:rPr>
          <w:rFonts w:asciiTheme="minorHAnsi" w:hAnsiTheme="minorHAnsi" w:cstheme="minorHAnsi"/>
          <w:sz w:val="24"/>
          <w:szCs w:val="24"/>
        </w:rPr>
        <w:t>ras que el  18% son mujeres (</w:t>
      </w:r>
      <w:r w:rsidRPr="00772E03">
        <w:rPr>
          <w:rFonts w:asciiTheme="minorHAnsi" w:hAnsiTheme="minorHAnsi" w:cstheme="minorHAnsi"/>
          <w:sz w:val="24"/>
          <w:szCs w:val="24"/>
        </w:rPr>
        <w:t>79</w:t>
      </w:r>
      <w:r w:rsidR="009E0FB9" w:rsidRPr="00772E03">
        <w:rPr>
          <w:rFonts w:asciiTheme="minorHAnsi" w:hAnsiTheme="minorHAnsi" w:cstheme="minorHAnsi"/>
          <w:sz w:val="24"/>
          <w:szCs w:val="24"/>
        </w:rPr>
        <w:t>)</w:t>
      </w:r>
      <w:r w:rsidR="00196E3A" w:rsidRPr="00772E03">
        <w:rPr>
          <w:rFonts w:asciiTheme="minorHAnsi" w:hAnsiTheme="minorHAnsi" w:cstheme="minorHAnsi"/>
          <w:sz w:val="24"/>
          <w:szCs w:val="24"/>
        </w:rPr>
        <w:t>. En cuanto a los posesionarios</w:t>
      </w:r>
      <w:r w:rsidRPr="00772E03">
        <w:rPr>
          <w:rFonts w:asciiTheme="minorHAnsi" w:hAnsiTheme="minorHAnsi" w:cstheme="minorHAnsi"/>
          <w:sz w:val="24"/>
          <w:szCs w:val="24"/>
        </w:rPr>
        <w:t xml:space="preserve"> el 78% son hombres, mientras que el 22% son mujeres.</w:t>
      </w: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31" type="#_x0000_t202" style="position:absolute;left:0;text-align:left;margin-left:61pt;margin-top:201pt;width:318.5pt;height:16.25pt;z-index:251753472" stroked="f">
            <v:textbox style="mso-next-textbox:#_x0000_s1131">
              <w:txbxContent>
                <w:p w:rsidR="00912E32" w:rsidRPr="003E7DE8" w:rsidRDefault="00912E32" w:rsidP="003E7DE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573016" cy="2743073"/>
            <wp:effectExtent l="57150" t="19050" r="75184" b="57277"/>
            <wp:docPr id="6" name="Gráfico 1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Los ejidos y comunidades que se dedican a realizar actividades agropecuarias en el mu</w:t>
      </w:r>
      <w:r w:rsidR="009E0FB9" w:rsidRPr="00772E03">
        <w:rPr>
          <w:rFonts w:asciiTheme="minorHAnsi" w:hAnsiTheme="minorHAnsi" w:cstheme="minorHAnsi"/>
          <w:sz w:val="24"/>
          <w:szCs w:val="24"/>
        </w:rPr>
        <w:t>nicipio son 8, todos</w:t>
      </w:r>
      <w:r w:rsidRPr="00772E03">
        <w:rPr>
          <w:rFonts w:asciiTheme="minorHAnsi" w:hAnsiTheme="minorHAnsi" w:cstheme="minorHAnsi"/>
          <w:sz w:val="24"/>
          <w:szCs w:val="24"/>
        </w:rPr>
        <w:t xml:space="preserve"> los cuales</w:t>
      </w:r>
      <w:r w:rsidR="009E0FB9" w:rsidRPr="00772E03">
        <w:rPr>
          <w:rFonts w:asciiTheme="minorHAnsi" w:hAnsiTheme="minorHAnsi" w:cstheme="minorHAnsi"/>
          <w:sz w:val="24"/>
          <w:szCs w:val="24"/>
        </w:rPr>
        <w:t xml:space="preserve"> realizan </w:t>
      </w:r>
      <w:r w:rsidRPr="00772E03">
        <w:rPr>
          <w:rFonts w:asciiTheme="minorHAnsi" w:hAnsiTheme="minorHAnsi" w:cstheme="minorHAnsi"/>
          <w:sz w:val="24"/>
          <w:szCs w:val="24"/>
        </w:rPr>
        <w:t>actividad</w:t>
      </w:r>
      <w:r w:rsidR="009E0FB9" w:rsidRPr="00772E03">
        <w:rPr>
          <w:rFonts w:asciiTheme="minorHAnsi" w:hAnsiTheme="minorHAnsi" w:cstheme="minorHAnsi"/>
          <w:sz w:val="24"/>
          <w:szCs w:val="24"/>
        </w:rPr>
        <w:t>es</w:t>
      </w:r>
      <w:r w:rsidRPr="00772E03">
        <w:rPr>
          <w:rFonts w:asciiTheme="minorHAnsi" w:hAnsiTheme="minorHAnsi" w:cstheme="minorHAnsi"/>
          <w:sz w:val="24"/>
          <w:szCs w:val="24"/>
        </w:rPr>
        <w:t xml:space="preserve"> agrícola</w:t>
      </w:r>
      <w:r w:rsidR="009E0FB9" w:rsidRPr="00772E03">
        <w:rPr>
          <w:rFonts w:asciiTheme="minorHAnsi" w:hAnsiTheme="minorHAnsi" w:cstheme="minorHAnsi"/>
          <w:sz w:val="24"/>
          <w:szCs w:val="24"/>
        </w:rPr>
        <w:t>s</w:t>
      </w:r>
      <w:r w:rsidRPr="00772E03">
        <w:rPr>
          <w:rFonts w:asciiTheme="minorHAnsi" w:hAnsiTheme="minorHAnsi" w:cstheme="minorHAnsi"/>
          <w:sz w:val="24"/>
          <w:szCs w:val="24"/>
        </w:rPr>
        <w:t>, mientras que en 5 se real</w:t>
      </w:r>
      <w:r w:rsidR="009E0FB9" w:rsidRPr="00772E03">
        <w:rPr>
          <w:rFonts w:asciiTheme="minorHAnsi" w:hAnsiTheme="minorHAnsi" w:cstheme="minorHAnsi"/>
          <w:sz w:val="24"/>
          <w:szCs w:val="24"/>
        </w:rPr>
        <w:t>iza la ganadería y só</w:t>
      </w:r>
      <w:r w:rsidRPr="00772E03">
        <w:rPr>
          <w:rFonts w:asciiTheme="minorHAnsi" w:hAnsiTheme="minorHAnsi" w:cstheme="minorHAnsi"/>
          <w:sz w:val="24"/>
          <w:szCs w:val="24"/>
        </w:rPr>
        <w:t xml:space="preserve">lo en 2 la forestal. Cabe mencionar que la suma total se refiere al </w:t>
      </w:r>
      <w:r w:rsidRPr="00772E03">
        <w:rPr>
          <w:rFonts w:asciiTheme="minorHAnsi" w:hAnsiTheme="minorHAnsi" w:cstheme="minorHAnsi"/>
          <w:sz w:val="24"/>
          <w:szCs w:val="24"/>
        </w:rPr>
        <w:lastRenderedPageBreak/>
        <w:t>total de ejidos y comunidades donde se llevan a cabo actividades agropecuarias, ya que un ejido o comunidad puede tener más de una actividad agropecuaria.</w:t>
      </w:r>
    </w:p>
    <w:p w:rsidR="00832F98" w:rsidRPr="00772E03" w:rsidRDefault="00832F98" w:rsidP="00832F98">
      <w:pPr>
        <w:rPr>
          <w:rFonts w:asciiTheme="minorHAnsi" w:hAnsiTheme="minorHAnsi" w:cstheme="minorHAnsi"/>
          <w:sz w:val="24"/>
          <w:szCs w:val="24"/>
        </w:rPr>
      </w:pP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32" type="#_x0000_t202" style="position:absolute;left:0;text-align:left;margin-left:61.95pt;margin-top:189.6pt;width:318.5pt;height:16.25pt;z-index:251754496" stroked="f">
            <v:textbox style="mso-next-textbox:#_x0000_s1132">
              <w:txbxContent>
                <w:p w:rsidR="00912E32" w:rsidRPr="003E7DE8" w:rsidRDefault="00912E32" w:rsidP="003E7DE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438004" cy="2595510"/>
            <wp:effectExtent l="57150" t="19050" r="76846" b="52440"/>
            <wp:docPr id="5" name="Gráfico 1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497818" w:rsidRPr="00772E03" w:rsidRDefault="00497818" w:rsidP="00832F98">
      <w:pPr>
        <w:tabs>
          <w:tab w:val="left" w:pos="2828"/>
        </w:tabs>
        <w:spacing w:line="360" w:lineRule="auto"/>
        <w:jc w:val="both"/>
        <w:rPr>
          <w:rFonts w:asciiTheme="minorHAnsi" w:hAnsiTheme="minorHAnsi" w:cstheme="minorHAnsi"/>
          <w:sz w:val="24"/>
          <w:szCs w:val="24"/>
        </w:rPr>
      </w:pPr>
    </w:p>
    <w:p w:rsidR="00832F98" w:rsidRPr="00772E03" w:rsidRDefault="00832F98" w:rsidP="00832F98">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cambio,</w:t>
      </w:r>
      <w:r w:rsidR="009E0FB9" w:rsidRPr="00772E03">
        <w:rPr>
          <w:rFonts w:asciiTheme="minorHAnsi" w:hAnsiTheme="minorHAnsi" w:cstheme="minorHAnsi"/>
          <w:sz w:val="24"/>
          <w:szCs w:val="24"/>
        </w:rPr>
        <w:t xml:space="preserve"> sólo existe un ejido</w:t>
      </w:r>
      <w:r w:rsidRPr="00772E03">
        <w:rPr>
          <w:rFonts w:asciiTheme="minorHAnsi" w:hAnsiTheme="minorHAnsi" w:cstheme="minorHAnsi"/>
          <w:sz w:val="24"/>
          <w:szCs w:val="24"/>
        </w:rPr>
        <w:t xml:space="preserve"> en donde se lleva a cabo la actividad pesquera.</w:t>
      </w:r>
    </w:p>
    <w:p w:rsidR="004229CA" w:rsidRPr="00772E03" w:rsidRDefault="004229CA" w:rsidP="00832F98">
      <w:pPr>
        <w:tabs>
          <w:tab w:val="left" w:pos="2828"/>
        </w:tabs>
        <w:spacing w:line="360" w:lineRule="auto"/>
        <w:jc w:val="both"/>
        <w:rPr>
          <w:rFonts w:asciiTheme="minorHAnsi" w:hAnsiTheme="minorHAnsi" w:cstheme="minorHAnsi"/>
          <w:b/>
          <w:bCs/>
          <w:sz w:val="24"/>
          <w:szCs w:val="24"/>
        </w:rPr>
      </w:pPr>
    </w:p>
    <w:p w:rsidR="00832F98" w:rsidRPr="00772E03" w:rsidRDefault="00900DB9" w:rsidP="009B1733">
      <w:pPr>
        <w:tabs>
          <w:tab w:val="left" w:pos="2828"/>
        </w:tabs>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Índice de Ventas Comercial</w:t>
      </w:r>
    </w:p>
    <w:p w:rsidR="004229CA" w:rsidRPr="00772E03" w:rsidRDefault="00BB395C" w:rsidP="009B1733">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índice de venta</w:t>
      </w:r>
      <w:r w:rsidR="002A13DA" w:rsidRPr="00772E03">
        <w:rPr>
          <w:rFonts w:asciiTheme="minorHAnsi" w:hAnsiTheme="minorHAnsi" w:cstheme="minorHAnsi"/>
          <w:sz w:val="24"/>
          <w:szCs w:val="24"/>
        </w:rPr>
        <w:t>s de establecimientos al por mayo</w:t>
      </w:r>
      <w:r w:rsidRPr="00772E03">
        <w:rPr>
          <w:rFonts w:asciiTheme="minorHAnsi" w:hAnsiTheme="minorHAnsi" w:cstheme="minorHAnsi"/>
          <w:sz w:val="24"/>
          <w:szCs w:val="24"/>
        </w:rPr>
        <w:t>r</w:t>
      </w:r>
      <w:r w:rsidR="00F833F3" w:rsidRPr="00772E03">
        <w:rPr>
          <w:rFonts w:asciiTheme="minorHAnsi" w:hAnsiTheme="minorHAnsi" w:cstheme="minorHAnsi"/>
          <w:sz w:val="24"/>
          <w:szCs w:val="24"/>
        </w:rPr>
        <w:t xml:space="preserve"> en el municipio de Coatzacoa</w:t>
      </w:r>
      <w:r w:rsidR="002A13DA" w:rsidRPr="00772E03">
        <w:rPr>
          <w:rFonts w:asciiTheme="minorHAnsi" w:hAnsiTheme="minorHAnsi" w:cstheme="minorHAnsi"/>
          <w:sz w:val="24"/>
          <w:szCs w:val="24"/>
        </w:rPr>
        <w:t>lcos, en el año 2002</w:t>
      </w:r>
      <w:r w:rsidR="004229CA" w:rsidRPr="00772E03">
        <w:rPr>
          <w:rFonts w:asciiTheme="minorHAnsi" w:hAnsiTheme="minorHAnsi" w:cstheme="minorHAnsi"/>
          <w:sz w:val="24"/>
          <w:szCs w:val="24"/>
        </w:rPr>
        <w:t xml:space="preserve"> l</w:t>
      </w:r>
      <w:r w:rsidR="002A13DA" w:rsidRPr="00772E03">
        <w:rPr>
          <w:rFonts w:asciiTheme="minorHAnsi" w:hAnsiTheme="minorHAnsi" w:cstheme="minorHAnsi"/>
          <w:sz w:val="24"/>
          <w:szCs w:val="24"/>
        </w:rPr>
        <w:t>a tasa de crecimiento fue de 36.6, mientras que para el año 2003 tendió a disminuir en -4.3</w:t>
      </w:r>
      <w:r w:rsidR="004229CA" w:rsidRPr="00772E03">
        <w:rPr>
          <w:rFonts w:asciiTheme="minorHAnsi" w:hAnsiTheme="minorHAnsi" w:cstheme="minorHAnsi"/>
          <w:sz w:val="24"/>
          <w:szCs w:val="24"/>
        </w:rPr>
        <w:t xml:space="preserve"> y</w:t>
      </w:r>
      <w:r w:rsidR="002A13DA" w:rsidRPr="00772E03">
        <w:rPr>
          <w:rFonts w:asciiTheme="minorHAnsi" w:hAnsiTheme="minorHAnsi" w:cstheme="minorHAnsi"/>
          <w:sz w:val="24"/>
          <w:szCs w:val="24"/>
        </w:rPr>
        <w:t xml:space="preserve"> para los años 2004-2006 la tasa de crecimiento aumento considerablemente; sin embargo</w:t>
      </w:r>
      <w:r w:rsidR="007329A6" w:rsidRPr="00772E03">
        <w:rPr>
          <w:rFonts w:asciiTheme="minorHAnsi" w:hAnsiTheme="minorHAnsi" w:cstheme="minorHAnsi"/>
          <w:sz w:val="24"/>
          <w:szCs w:val="24"/>
        </w:rPr>
        <w:t>,</w:t>
      </w:r>
      <w:r w:rsidR="002A13DA" w:rsidRPr="00772E03">
        <w:rPr>
          <w:rFonts w:asciiTheme="minorHAnsi" w:hAnsiTheme="minorHAnsi" w:cstheme="minorHAnsi"/>
          <w:sz w:val="24"/>
          <w:szCs w:val="24"/>
        </w:rPr>
        <w:t xml:space="preserve"> </w:t>
      </w:r>
      <w:r w:rsidR="00377F0D" w:rsidRPr="00772E03">
        <w:rPr>
          <w:rFonts w:asciiTheme="minorHAnsi" w:hAnsiTheme="minorHAnsi" w:cstheme="minorHAnsi"/>
          <w:sz w:val="24"/>
          <w:szCs w:val="24"/>
        </w:rPr>
        <w:t>en 2007 la tasa de crecimiento fue de 2.8 y pasó a 2.6 en el</w:t>
      </w:r>
      <w:r w:rsidR="007329A6" w:rsidRPr="00772E03">
        <w:rPr>
          <w:rFonts w:asciiTheme="minorHAnsi" w:hAnsiTheme="minorHAnsi" w:cstheme="minorHAnsi"/>
          <w:sz w:val="24"/>
          <w:szCs w:val="24"/>
        </w:rPr>
        <w:t xml:space="preserve"> 2008.</w:t>
      </w:r>
    </w:p>
    <w:p w:rsidR="007329A6" w:rsidRPr="00772E03" w:rsidRDefault="007329A6" w:rsidP="009B1733">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Podemos observar que el índice de ventas al por menor en Coatzacoalcos la tasa de crecimiento fue negativa, representando el -1.1 en el año 2002; ya que para el 2004 se registro una tasa de 9.5 y de 2 para el año 2008.</w:t>
      </w:r>
    </w:p>
    <w:p w:rsidR="00900DB9" w:rsidRPr="00772E03" w:rsidRDefault="009D1D63" w:rsidP="00BB395C">
      <w:pPr>
        <w:tabs>
          <w:tab w:val="left" w:pos="2828"/>
        </w:tabs>
        <w:spacing w:line="360" w:lineRule="auto"/>
        <w:jc w:val="center"/>
        <w:rPr>
          <w:rFonts w:asciiTheme="minorHAnsi" w:hAnsiTheme="minorHAnsi" w:cstheme="minorHAnsi"/>
          <w:b/>
          <w:bCs/>
          <w:sz w:val="24"/>
          <w:szCs w:val="24"/>
        </w:rPr>
      </w:pPr>
      <w:r w:rsidRPr="00772E03">
        <w:rPr>
          <w:rFonts w:asciiTheme="minorHAnsi" w:hAnsiTheme="minorHAnsi" w:cstheme="minorHAnsi"/>
          <w:b/>
          <w:bCs/>
          <w:noProof/>
          <w:sz w:val="24"/>
          <w:szCs w:val="24"/>
          <w:lang w:eastAsia="es-MX"/>
        </w:rPr>
        <w:lastRenderedPageBreak/>
        <w:drawing>
          <wp:inline distT="0" distB="0" distL="0" distR="0">
            <wp:extent cx="4572000" cy="2743200"/>
            <wp:effectExtent l="57150" t="19050" r="76200" b="57150"/>
            <wp:docPr id="1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9D1D63" w:rsidRPr="00772E03" w:rsidRDefault="009D1D63" w:rsidP="009B1733">
      <w:pPr>
        <w:tabs>
          <w:tab w:val="left" w:pos="2828"/>
        </w:tabs>
        <w:spacing w:line="360" w:lineRule="auto"/>
        <w:jc w:val="both"/>
        <w:rPr>
          <w:rFonts w:asciiTheme="minorHAnsi" w:hAnsiTheme="minorHAnsi" w:cstheme="minorHAnsi"/>
          <w:b/>
          <w:bCs/>
          <w:sz w:val="24"/>
          <w:szCs w:val="24"/>
        </w:rPr>
      </w:pPr>
    </w:p>
    <w:p w:rsidR="009D1D63" w:rsidRPr="00772E03" w:rsidRDefault="009D1D63" w:rsidP="009B1733">
      <w:pPr>
        <w:tabs>
          <w:tab w:val="left" w:pos="2828"/>
        </w:tabs>
        <w:spacing w:line="360" w:lineRule="auto"/>
        <w:jc w:val="both"/>
        <w:rPr>
          <w:rFonts w:asciiTheme="minorHAnsi" w:hAnsiTheme="minorHAnsi" w:cstheme="minorHAnsi"/>
          <w:b/>
          <w:bCs/>
          <w:sz w:val="24"/>
          <w:szCs w:val="24"/>
        </w:rPr>
      </w:pPr>
    </w:p>
    <w:p w:rsidR="009B1733" w:rsidRPr="00772E03" w:rsidRDefault="009B1733" w:rsidP="009B1733">
      <w:pPr>
        <w:tabs>
          <w:tab w:val="left" w:pos="2828"/>
        </w:tabs>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Transportes y comunicaciones</w:t>
      </w:r>
    </w:p>
    <w:p w:rsidR="009B1733" w:rsidRPr="00772E03" w:rsidRDefault="009B1733" w:rsidP="009B1733">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materia de comunicaciones y transportes, existen 35.4 km. de red carretera en el municipio, transitado por un parque vehicular de 43, 550 automóviles, de los cuales el 94.5% son de uso particular y el 5.5% es público; 788 camiones de pasajeros, de los cuales el 77.28% son de servicio público; 15, 386 camiones y camionetas para carga, de los cuales el 98.47% son particulares y 1, 796 motocicletas particulares en su totalidad.</w:t>
      </w:r>
    </w:p>
    <w:p w:rsidR="009B1733" w:rsidRPr="00772E03" w:rsidRDefault="009B1733" w:rsidP="009B1733">
      <w:pPr>
        <w:tabs>
          <w:tab w:val="left" w:pos="2828"/>
        </w:tabs>
        <w:jc w:val="both"/>
        <w:rPr>
          <w:rFonts w:asciiTheme="minorHAnsi" w:hAnsiTheme="minorHAnsi" w:cstheme="minorHAnsi"/>
          <w:sz w:val="24"/>
          <w:szCs w:val="24"/>
        </w:rPr>
      </w:pPr>
    </w:p>
    <w:p w:rsidR="009B1733" w:rsidRPr="00772E03" w:rsidRDefault="0029009B" w:rsidP="009B1733">
      <w:pPr>
        <w:tabs>
          <w:tab w:val="left" w:pos="2828"/>
        </w:tabs>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33" type="#_x0000_t202" style="position:absolute;left:0;text-align:left;margin-left:257.4pt;margin-top:222.45pt;width:148.95pt;height:16.9pt;z-index:251755520" stroked="f">
            <v:textbox style="mso-next-textbox:#_x0000_s1133">
              <w:txbxContent>
                <w:p w:rsidR="00912E32" w:rsidRPr="002140BB" w:rsidRDefault="00912E32" w:rsidP="003E7DE8">
                  <w:pPr>
                    <w:jc w:val="right"/>
                    <w:rPr>
                      <w:sz w:val="16"/>
                      <w:szCs w:val="16"/>
                    </w:rPr>
                  </w:pPr>
                  <w:r w:rsidRPr="002140BB">
                    <w:rPr>
                      <w:sz w:val="16"/>
                      <w:szCs w:val="16"/>
                    </w:rPr>
                    <w:t>Fuen</w:t>
                  </w:r>
                  <w:r>
                    <w:rPr>
                      <w:sz w:val="16"/>
                      <w:szCs w:val="16"/>
                    </w:rPr>
                    <w:t>te: Elaborado con datos de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4933018" cy="3025978"/>
            <wp:effectExtent l="57150" t="19050" r="77132" b="60122"/>
            <wp:docPr id="266"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9B1733" w:rsidRPr="00772E03" w:rsidRDefault="009B1733" w:rsidP="009B1733">
      <w:pPr>
        <w:tabs>
          <w:tab w:val="left" w:pos="2828"/>
        </w:tabs>
        <w:jc w:val="both"/>
        <w:rPr>
          <w:rFonts w:asciiTheme="minorHAnsi" w:hAnsiTheme="minorHAnsi" w:cstheme="minorHAnsi"/>
          <w:sz w:val="24"/>
          <w:szCs w:val="24"/>
        </w:rPr>
      </w:pPr>
    </w:p>
    <w:p w:rsidR="009B1733" w:rsidRPr="00772E03" w:rsidRDefault="009B1733" w:rsidP="009B1733">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 venta de vehículos reactiva a la economía de cada uno de los municipios del estado de Veracruz y; Coatzacoalcos es unos de los municipios con mayores ventas, posicionándose en el 3° lugar a nivel estatal con 6 mil 201 vehículos vendidos en el 2008, de los cuales 3, 083 son automóviles y 3, 118 camiones. </w:t>
      </w:r>
    </w:p>
    <w:p w:rsidR="009B1733" w:rsidRPr="00772E03" w:rsidRDefault="009B1733" w:rsidP="009B1733">
      <w:pPr>
        <w:tabs>
          <w:tab w:val="left" w:pos="2828"/>
        </w:tabs>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inline distT="0" distB="0" distL="0" distR="0">
            <wp:extent cx="4638675" cy="3162300"/>
            <wp:effectExtent l="57150" t="19050" r="66675" b="57150"/>
            <wp:docPr id="267"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9B1733" w:rsidRPr="00772E03" w:rsidRDefault="009B1733" w:rsidP="009B1733">
      <w:pPr>
        <w:tabs>
          <w:tab w:val="left" w:pos="2828"/>
        </w:tabs>
        <w:jc w:val="both"/>
        <w:rPr>
          <w:rFonts w:asciiTheme="minorHAnsi" w:hAnsiTheme="minorHAnsi" w:cstheme="minorHAnsi"/>
          <w:sz w:val="24"/>
          <w:szCs w:val="24"/>
        </w:rPr>
      </w:pPr>
    </w:p>
    <w:p w:rsidR="009B1733" w:rsidRPr="00772E03" w:rsidRDefault="009B1733" w:rsidP="009B1733">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Esté municipio se caracteriza por ser uno de los más grandes del estado de Veracruz y, por tanto las empresas automovilísticas han tenido ventas de 1, 712 en autos subcompactos y compactos 1, 232; en cambio, los que también registran ventas significativas son los camiones con 1, 710 y los de usos múltiple 1, 408. Es preciso mencionar que los automóviles que registran menores ventas son los de lujo con 133 y los deportivos son sólo 6. </w:t>
      </w:r>
    </w:p>
    <w:p w:rsidR="009B1733" w:rsidRPr="00772E03" w:rsidRDefault="009B1733" w:rsidP="009B1733">
      <w:pPr>
        <w:spacing w:line="360" w:lineRule="auto"/>
        <w:jc w:val="center"/>
        <w:rPr>
          <w:rFonts w:asciiTheme="minorHAnsi" w:hAnsiTheme="minorHAnsi" w:cstheme="minorHAnsi"/>
          <w:b/>
          <w:bCs/>
          <w:sz w:val="24"/>
          <w:szCs w:val="24"/>
        </w:rPr>
      </w:pPr>
      <w:r w:rsidRPr="00772E03">
        <w:rPr>
          <w:rFonts w:asciiTheme="minorHAnsi" w:hAnsiTheme="minorHAnsi" w:cstheme="minorHAnsi"/>
          <w:b/>
          <w:bCs/>
          <w:noProof/>
          <w:sz w:val="24"/>
          <w:szCs w:val="24"/>
          <w:lang w:eastAsia="es-MX"/>
        </w:rPr>
        <w:drawing>
          <wp:inline distT="0" distB="0" distL="0" distR="0">
            <wp:extent cx="4387999" cy="2444451"/>
            <wp:effectExtent l="57150" t="19050" r="69701" b="51099"/>
            <wp:docPr id="268"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el estado existen 25 estaciones de televisión de las cuales 23 son repetidoras y sólo 2 son locales. El municipio de Coatzacoalcos cuenta con 4 estaciones repetidoras.</w:t>
      </w:r>
    </w:p>
    <w:p w:rsidR="00C52FE0" w:rsidRPr="00772E03" w:rsidRDefault="00C52FE0" w:rsidP="00832F98">
      <w:pPr>
        <w:spacing w:line="360" w:lineRule="auto"/>
        <w:jc w:val="both"/>
        <w:rPr>
          <w:rFonts w:asciiTheme="minorHAnsi" w:hAnsiTheme="minorHAnsi" w:cstheme="minorHAnsi"/>
          <w:sz w:val="24"/>
          <w:szCs w:val="24"/>
        </w:rPr>
      </w:pPr>
    </w:p>
    <w:p w:rsidR="00832F98" w:rsidRPr="00772E03" w:rsidRDefault="0029009B" w:rsidP="00832F98">
      <w:pPr>
        <w:spacing w:line="360" w:lineRule="auto"/>
        <w:jc w:val="center"/>
        <w:rPr>
          <w:rFonts w:asciiTheme="minorHAnsi" w:hAnsiTheme="minorHAnsi" w:cstheme="minorHAnsi"/>
          <w:sz w:val="24"/>
          <w:szCs w:val="24"/>
          <w:lang w:eastAsia="es-MX"/>
        </w:rPr>
      </w:pPr>
      <w:r>
        <w:rPr>
          <w:rFonts w:asciiTheme="minorHAnsi" w:hAnsiTheme="minorHAnsi" w:cstheme="minorHAnsi"/>
          <w:noProof/>
          <w:sz w:val="24"/>
          <w:szCs w:val="24"/>
          <w:lang w:eastAsia="es-MX" w:bidi="hi-IN"/>
        </w:rPr>
        <w:pict>
          <v:shape id="_x0000_s1135" type="#_x0000_t202" style="position:absolute;left:0;text-align:left;margin-left:76.55pt;margin-top:226.95pt;width:283.1pt;height:16.25pt;z-index:251756544" stroked="f">
            <v:textbox style="mso-next-textbox:#_x0000_s1135">
              <w:txbxContent>
                <w:p w:rsidR="00912E32" w:rsidRPr="003E7DE8" w:rsidRDefault="00912E32" w:rsidP="008E1451">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3845814" cy="3078988"/>
            <wp:effectExtent l="57150" t="19050" r="78486" b="64262"/>
            <wp:docPr id="8" name="Gráfico 1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8E1451" w:rsidRPr="00772E03" w:rsidRDefault="008E1451" w:rsidP="00832F98">
      <w:pPr>
        <w:spacing w:line="360" w:lineRule="auto"/>
        <w:jc w:val="both"/>
        <w:rPr>
          <w:rFonts w:asciiTheme="minorHAnsi" w:hAnsiTheme="minorHAnsi" w:cstheme="minorHAnsi"/>
          <w:sz w:val="24"/>
          <w:szCs w:val="24"/>
        </w:rPr>
      </w:pP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cuanto a los servicios de televisión restringida por cable; el municipio de Coatzacoalcos se encuentra en el 4° lugar en cuento a  suscriptores en el estado, con un total de 9 mil 668. </w:t>
      </w:r>
    </w:p>
    <w:p w:rsidR="00832F98" w:rsidRPr="00772E03" w:rsidRDefault="00832F98" w:rsidP="00832F98">
      <w:pPr>
        <w:rPr>
          <w:rFonts w:asciiTheme="minorHAnsi" w:hAnsiTheme="minorHAnsi" w:cstheme="minorHAnsi"/>
          <w:sz w:val="24"/>
          <w:szCs w:val="24"/>
        </w:rPr>
      </w:pP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36" type="#_x0000_t202" style="position:absolute;left:0;text-align:left;margin-left:59.65pt;margin-top:243.85pt;width:318.5pt;height:16.25pt;z-index:251757568" stroked="f">
            <v:textbox style="mso-next-textbox:#_x0000_s1136">
              <w:txbxContent>
                <w:p w:rsidR="00912E32" w:rsidRPr="003E7DE8" w:rsidRDefault="00912E32" w:rsidP="008E1451">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293235" cy="3297047"/>
            <wp:effectExtent l="57150" t="19050" r="69215" b="55753"/>
            <wp:docPr id="12" name="Gráfico 1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832F98" w:rsidRPr="00772E03" w:rsidRDefault="00832F98" w:rsidP="00832F98">
      <w:pPr>
        <w:rPr>
          <w:rFonts w:asciiTheme="minorHAnsi" w:hAnsiTheme="minorHAnsi" w:cstheme="minorHAnsi"/>
          <w:sz w:val="24"/>
          <w:szCs w:val="24"/>
        </w:rPr>
      </w:pP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w:t>
      </w:r>
      <w:r w:rsidR="009E0FB9" w:rsidRPr="00772E03">
        <w:rPr>
          <w:rFonts w:asciiTheme="minorHAnsi" w:hAnsiTheme="minorHAnsi" w:cstheme="minorHAnsi"/>
          <w:sz w:val="24"/>
          <w:szCs w:val="24"/>
        </w:rPr>
        <w:t xml:space="preserve">oatzacoalcos se encuentra </w:t>
      </w:r>
      <w:r w:rsidRPr="00772E03">
        <w:rPr>
          <w:rFonts w:asciiTheme="minorHAnsi" w:hAnsiTheme="minorHAnsi" w:cstheme="minorHAnsi"/>
          <w:sz w:val="24"/>
          <w:szCs w:val="24"/>
        </w:rPr>
        <w:t>en el 3° lugar en cuanto al número de estaciones radiodifusoras con 8, de las 114 que hay a nivel estatal. De las existentes en el municipio, 3 son comerciales de amplitud modulada y 5 son comerciales de frecuencia modulada.</w:t>
      </w:r>
    </w:p>
    <w:p w:rsidR="00832F98" w:rsidRPr="00772E03" w:rsidRDefault="00832F98" w:rsidP="00832F98">
      <w:pPr>
        <w:rPr>
          <w:rFonts w:asciiTheme="minorHAnsi" w:hAnsiTheme="minorHAnsi" w:cstheme="minorHAnsi"/>
          <w:sz w:val="24"/>
          <w:szCs w:val="24"/>
        </w:rPr>
      </w:pPr>
    </w:p>
    <w:p w:rsidR="00832F98" w:rsidRPr="00772E03" w:rsidRDefault="00832F98" w:rsidP="00832F98">
      <w:pPr>
        <w:rPr>
          <w:rFonts w:asciiTheme="minorHAnsi" w:hAnsiTheme="minorHAnsi" w:cstheme="minorHAnsi"/>
          <w:sz w:val="24"/>
          <w:szCs w:val="24"/>
        </w:rPr>
      </w:pPr>
    </w:p>
    <w:p w:rsidR="00832F98" w:rsidRPr="00772E03" w:rsidRDefault="00832F98" w:rsidP="00832F98">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inline distT="0" distB="0" distL="0" distR="0">
            <wp:extent cx="4573016" cy="2743073"/>
            <wp:effectExtent l="57150" t="19050" r="75184" b="57277"/>
            <wp:docPr id="13" name="Gráfico 1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832F98" w:rsidRPr="00772E03" w:rsidRDefault="00832F98" w:rsidP="00832F98">
      <w:pPr>
        <w:rPr>
          <w:rFonts w:asciiTheme="minorHAnsi" w:hAnsiTheme="minorHAnsi" w:cstheme="minorHAnsi"/>
          <w:sz w:val="24"/>
          <w:szCs w:val="24"/>
        </w:rPr>
      </w:pP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Coatzacoalcos existen 48 usuarios de comunicación privada onda corta, la cual se refiere a la </w:t>
      </w:r>
      <w:r w:rsidRPr="00772E03">
        <w:rPr>
          <w:rFonts w:asciiTheme="minorHAnsi" w:hAnsiTheme="minorHAnsi" w:cstheme="minorHAnsi"/>
          <w:sz w:val="24"/>
          <w:szCs w:val="24"/>
          <w:lang w:eastAsia="es-MX"/>
        </w:rPr>
        <w:t>radiocomunicación por teléfono o de radio móvil de muy alta frecuencia (VHF) y ultra alta frecuencia (UHF).</w:t>
      </w:r>
      <w:r w:rsidRPr="00772E03">
        <w:rPr>
          <w:rFonts w:asciiTheme="minorHAnsi" w:hAnsiTheme="minorHAnsi" w:cstheme="minorHAnsi"/>
          <w:sz w:val="24"/>
          <w:szCs w:val="24"/>
        </w:rPr>
        <w:t xml:space="preserve"> En cuanto a las estaciones radioeléctricas </w:t>
      </w:r>
      <w:r w:rsidR="00063B35" w:rsidRPr="00772E03">
        <w:rPr>
          <w:rFonts w:asciiTheme="minorHAnsi" w:hAnsiTheme="minorHAnsi" w:cstheme="minorHAnsi"/>
          <w:sz w:val="24"/>
          <w:szCs w:val="24"/>
        </w:rPr>
        <w:t xml:space="preserve">(transmisoras) </w:t>
      </w:r>
      <w:r w:rsidRPr="00772E03">
        <w:rPr>
          <w:rFonts w:asciiTheme="minorHAnsi" w:hAnsiTheme="minorHAnsi" w:cstheme="minorHAnsi"/>
          <w:sz w:val="24"/>
          <w:szCs w:val="24"/>
        </w:rPr>
        <w:t>de aficionados en el municipio existen 11.</w:t>
      </w:r>
    </w:p>
    <w:p w:rsidR="00832F98" w:rsidRPr="00772E03" w:rsidRDefault="00832F98" w:rsidP="00832F98">
      <w:pPr>
        <w:spacing w:line="360" w:lineRule="auto"/>
        <w:jc w:val="both"/>
        <w:rPr>
          <w:rFonts w:asciiTheme="minorHAnsi" w:hAnsiTheme="minorHAnsi" w:cstheme="minorHAnsi"/>
          <w:sz w:val="24"/>
          <w:szCs w:val="24"/>
          <w:lang w:eastAsia="es-MX"/>
        </w:rPr>
      </w:pPr>
      <w:r w:rsidRPr="00772E03">
        <w:rPr>
          <w:rFonts w:asciiTheme="minorHAnsi" w:hAnsiTheme="minorHAnsi" w:cstheme="minorHAnsi"/>
          <w:sz w:val="24"/>
          <w:szCs w:val="24"/>
          <w:lang w:eastAsia="es-MX"/>
        </w:rPr>
        <w:t>El municipio se ubica en el 2° lugar a nivel estatal en cuanto al número de usuarios de comunicación privada onda corta, por arriba de municipios como Xalapa con 28, Córdoba con 23, Poza Rica con 20 y Tuxpan con 15.</w:t>
      </w:r>
    </w:p>
    <w:p w:rsidR="00832F98" w:rsidRPr="00772E03" w:rsidRDefault="00832F98" w:rsidP="00832F98">
      <w:pPr>
        <w:rPr>
          <w:rFonts w:asciiTheme="minorHAnsi" w:hAnsiTheme="minorHAnsi" w:cstheme="minorHAnsi"/>
          <w:sz w:val="24"/>
          <w:szCs w:val="24"/>
        </w:rPr>
      </w:pPr>
    </w:p>
    <w:p w:rsidR="00832F98" w:rsidRPr="00772E03" w:rsidRDefault="00832F98" w:rsidP="00832F98">
      <w:pPr>
        <w:rPr>
          <w:rFonts w:asciiTheme="minorHAnsi" w:hAnsiTheme="minorHAnsi" w:cstheme="minorHAnsi"/>
          <w:sz w:val="24"/>
          <w:szCs w:val="24"/>
        </w:rPr>
      </w:pPr>
    </w:p>
    <w:p w:rsidR="00832F98" w:rsidRPr="00772E03" w:rsidRDefault="00832F98" w:rsidP="009E0FB9">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inline distT="0" distB="0" distL="0" distR="0">
            <wp:extent cx="4528058" cy="3581146"/>
            <wp:effectExtent l="57150" t="19050" r="82042" b="57404"/>
            <wp:docPr id="14" name="Gráfico 1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9B1733" w:rsidRPr="00772E03" w:rsidRDefault="009B1733" w:rsidP="009B1733">
      <w:pPr>
        <w:spacing w:line="360" w:lineRule="auto"/>
        <w:jc w:val="both"/>
        <w:rPr>
          <w:rFonts w:asciiTheme="minorHAnsi" w:hAnsiTheme="minorHAnsi" w:cstheme="minorHAnsi"/>
          <w:b/>
          <w:bCs/>
          <w:sz w:val="24"/>
          <w:szCs w:val="24"/>
        </w:rPr>
      </w:pPr>
    </w:p>
    <w:p w:rsidR="00A540B0" w:rsidRPr="00772E03" w:rsidRDefault="00A540B0" w:rsidP="009B1733">
      <w:pPr>
        <w:spacing w:line="360" w:lineRule="auto"/>
        <w:jc w:val="both"/>
        <w:rPr>
          <w:rFonts w:asciiTheme="minorHAnsi" w:hAnsiTheme="minorHAnsi" w:cstheme="minorHAnsi"/>
          <w:b/>
          <w:bCs/>
          <w:sz w:val="24"/>
          <w:szCs w:val="24"/>
        </w:rPr>
      </w:pPr>
    </w:p>
    <w:p w:rsidR="009B1733" w:rsidRPr="00772E03" w:rsidRDefault="008E1451" w:rsidP="009B1733">
      <w:pPr>
        <w:tabs>
          <w:tab w:val="left" w:pos="2828"/>
        </w:tabs>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t>Sistema financiero</w:t>
      </w:r>
    </w:p>
    <w:p w:rsidR="009B1733" w:rsidRPr="00772E03" w:rsidRDefault="009B1733" w:rsidP="009B1733">
      <w:pPr>
        <w:tabs>
          <w:tab w:val="center" w:pos="42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el estado se encuentran ubicadas 389 sucursales bancarias de las cuales 31 se encuentran en el municipio de Coatzacoalcos, lo que representa el 8% del total estatal, por lo que el municipio ocupa el tercer lugar a nivel estatal.</w:t>
      </w:r>
    </w:p>
    <w:p w:rsidR="009B1733" w:rsidRPr="00772E03" w:rsidRDefault="0029009B" w:rsidP="009B1733">
      <w:pPr>
        <w:tabs>
          <w:tab w:val="left" w:pos="2828"/>
        </w:tabs>
        <w:spacing w:line="360" w:lineRule="auto"/>
        <w:jc w:val="center"/>
        <w:rPr>
          <w:rFonts w:asciiTheme="minorHAnsi" w:hAnsiTheme="minorHAnsi" w:cstheme="minorHAnsi"/>
          <w:b/>
          <w:bCs/>
          <w:sz w:val="24"/>
          <w:szCs w:val="24"/>
        </w:rPr>
      </w:pPr>
      <w:r w:rsidRPr="0029009B">
        <w:rPr>
          <w:rFonts w:asciiTheme="minorHAnsi" w:hAnsiTheme="minorHAnsi" w:cstheme="minorHAnsi"/>
          <w:noProof/>
          <w:sz w:val="24"/>
          <w:szCs w:val="24"/>
          <w:lang w:eastAsia="es-MX" w:bidi="hi-IN"/>
        </w:rPr>
        <w:lastRenderedPageBreak/>
        <w:pict>
          <v:shape id="_x0000_s1137" type="#_x0000_t202" style="position:absolute;left:0;text-align:left;margin-left:181.2pt;margin-top:204.75pt;width:195.75pt;height:16.85pt;z-index:251758592" stroked="f">
            <v:textbox style="mso-next-textbox:#_x0000_s1137">
              <w:txbxContent>
                <w:p w:rsidR="00912E32" w:rsidRPr="00774508" w:rsidRDefault="00912E32" w:rsidP="008E1451">
                  <w:pPr>
                    <w:jc w:val="right"/>
                    <w:rPr>
                      <w:sz w:val="18"/>
                      <w:szCs w:val="18"/>
                    </w:rPr>
                  </w:pPr>
                  <w:r w:rsidRPr="00774508">
                    <w:rPr>
                      <w:sz w:val="18"/>
                      <w:szCs w:val="18"/>
                    </w:rPr>
                    <w:t>Fuente: Asociación de Bancos de México, A.C</w:t>
                  </w:r>
                  <w:r>
                    <w:rPr>
                      <w:sz w:val="18"/>
                      <w:szCs w:val="18"/>
                    </w:rPr>
                    <w:t>.</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4187626" cy="2837166"/>
            <wp:effectExtent l="57150" t="19050" r="79574" b="58434"/>
            <wp:docPr id="269"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D83F97" w:rsidRPr="00772E03" w:rsidRDefault="00D83F97" w:rsidP="009B1733">
      <w:pPr>
        <w:tabs>
          <w:tab w:val="left" w:pos="2828"/>
        </w:tabs>
        <w:spacing w:line="360" w:lineRule="auto"/>
        <w:jc w:val="center"/>
        <w:rPr>
          <w:rFonts w:asciiTheme="minorHAnsi" w:hAnsiTheme="minorHAnsi" w:cstheme="minorHAnsi"/>
          <w:b/>
          <w:bCs/>
          <w:sz w:val="24"/>
          <w:szCs w:val="24"/>
        </w:rPr>
      </w:pPr>
    </w:p>
    <w:p w:rsidR="00884F1B" w:rsidRPr="00772E03" w:rsidRDefault="00884F1B" w:rsidP="00D83F97">
      <w:pPr>
        <w:tabs>
          <w:tab w:val="left" w:pos="2828"/>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Coatzacoalcos </w:t>
      </w:r>
      <w:r w:rsidR="00B343A0" w:rsidRPr="00772E03">
        <w:rPr>
          <w:rFonts w:asciiTheme="minorHAnsi" w:hAnsiTheme="minorHAnsi" w:cstheme="minorHAnsi"/>
          <w:sz w:val="24"/>
          <w:szCs w:val="24"/>
        </w:rPr>
        <w:t xml:space="preserve">se ubica en el en 8° lugar a nivel estatal </w:t>
      </w:r>
      <w:r w:rsidR="00D83F97" w:rsidRPr="00772E03">
        <w:rPr>
          <w:rFonts w:asciiTheme="minorHAnsi" w:hAnsiTheme="minorHAnsi" w:cstheme="minorHAnsi"/>
          <w:sz w:val="24"/>
          <w:szCs w:val="24"/>
        </w:rPr>
        <w:t>con  9 mil 044 personas que</w:t>
      </w:r>
      <w:r w:rsidR="009E7600" w:rsidRPr="00772E03">
        <w:rPr>
          <w:rFonts w:asciiTheme="minorHAnsi" w:hAnsiTheme="minorHAnsi" w:cstheme="minorHAnsi"/>
          <w:sz w:val="24"/>
          <w:szCs w:val="24"/>
        </w:rPr>
        <w:t xml:space="preserve"> hacen uso de</w:t>
      </w:r>
      <w:r w:rsidR="00BF52B8" w:rsidRPr="00772E03">
        <w:rPr>
          <w:rFonts w:asciiTheme="minorHAnsi" w:hAnsiTheme="minorHAnsi" w:cstheme="minorHAnsi"/>
          <w:sz w:val="24"/>
          <w:szCs w:val="24"/>
        </w:rPr>
        <w:t xml:space="preserve"> cada </w:t>
      </w:r>
      <w:r w:rsidR="00566389" w:rsidRPr="00772E03">
        <w:rPr>
          <w:rFonts w:asciiTheme="minorHAnsi" w:hAnsiTheme="minorHAnsi" w:cstheme="minorHAnsi"/>
          <w:sz w:val="24"/>
          <w:szCs w:val="24"/>
        </w:rPr>
        <w:t xml:space="preserve">una de las </w:t>
      </w:r>
      <w:r w:rsidR="00BF52B8" w:rsidRPr="00772E03">
        <w:rPr>
          <w:rFonts w:asciiTheme="minorHAnsi" w:hAnsiTheme="minorHAnsi" w:cstheme="minorHAnsi"/>
          <w:sz w:val="24"/>
          <w:szCs w:val="24"/>
        </w:rPr>
        <w:t>sucursal</w:t>
      </w:r>
      <w:r w:rsidR="00566389" w:rsidRPr="00772E03">
        <w:rPr>
          <w:rFonts w:asciiTheme="minorHAnsi" w:hAnsiTheme="minorHAnsi" w:cstheme="minorHAnsi"/>
          <w:sz w:val="24"/>
          <w:szCs w:val="24"/>
        </w:rPr>
        <w:t>es</w:t>
      </w:r>
      <w:r w:rsidR="00BF52B8" w:rsidRPr="00772E03">
        <w:rPr>
          <w:rFonts w:asciiTheme="minorHAnsi" w:hAnsiTheme="minorHAnsi" w:cstheme="minorHAnsi"/>
          <w:sz w:val="24"/>
          <w:szCs w:val="24"/>
        </w:rPr>
        <w:t xml:space="preserve"> bancaria</w:t>
      </w:r>
      <w:r w:rsidR="00566389" w:rsidRPr="00772E03">
        <w:rPr>
          <w:rFonts w:asciiTheme="minorHAnsi" w:hAnsiTheme="minorHAnsi" w:cstheme="minorHAnsi"/>
          <w:sz w:val="24"/>
          <w:szCs w:val="24"/>
        </w:rPr>
        <w:t>s</w:t>
      </w:r>
      <w:r w:rsidR="002E04FA" w:rsidRPr="00772E03">
        <w:rPr>
          <w:rFonts w:asciiTheme="minorHAnsi" w:hAnsiTheme="minorHAnsi" w:cstheme="minorHAnsi"/>
          <w:sz w:val="24"/>
          <w:szCs w:val="24"/>
        </w:rPr>
        <w:t xml:space="preserve"> </w:t>
      </w:r>
      <w:r w:rsidR="009E7600" w:rsidRPr="00772E03">
        <w:rPr>
          <w:rFonts w:asciiTheme="minorHAnsi" w:hAnsiTheme="minorHAnsi" w:cstheme="minorHAnsi"/>
          <w:sz w:val="24"/>
          <w:szCs w:val="24"/>
        </w:rPr>
        <w:t xml:space="preserve">que se encuentran en </w:t>
      </w:r>
      <w:r w:rsidR="00D83F97" w:rsidRPr="00772E03">
        <w:rPr>
          <w:rFonts w:asciiTheme="minorHAnsi" w:hAnsiTheme="minorHAnsi" w:cstheme="minorHAnsi"/>
          <w:sz w:val="24"/>
          <w:szCs w:val="24"/>
        </w:rPr>
        <w:t>e</w:t>
      </w:r>
      <w:r w:rsidR="009E7600" w:rsidRPr="00772E03">
        <w:rPr>
          <w:rFonts w:asciiTheme="minorHAnsi" w:hAnsiTheme="minorHAnsi" w:cstheme="minorHAnsi"/>
          <w:sz w:val="24"/>
          <w:szCs w:val="24"/>
        </w:rPr>
        <w:t>l</w:t>
      </w:r>
      <w:r w:rsidR="00D83F97" w:rsidRPr="00772E03">
        <w:rPr>
          <w:rFonts w:asciiTheme="minorHAnsi" w:hAnsiTheme="minorHAnsi" w:cstheme="minorHAnsi"/>
          <w:sz w:val="24"/>
          <w:szCs w:val="24"/>
        </w:rPr>
        <w:t xml:space="preserve"> municipio para realiz</w:t>
      </w:r>
      <w:r w:rsidR="00566389" w:rsidRPr="00772E03">
        <w:rPr>
          <w:rFonts w:asciiTheme="minorHAnsi" w:hAnsiTheme="minorHAnsi" w:cstheme="minorHAnsi"/>
          <w:sz w:val="24"/>
          <w:szCs w:val="24"/>
        </w:rPr>
        <w:t>ar sus diferentes transferencias</w:t>
      </w:r>
      <w:r w:rsidR="00D83F97" w:rsidRPr="00772E03">
        <w:rPr>
          <w:rFonts w:asciiTheme="minorHAnsi" w:hAnsiTheme="minorHAnsi" w:cstheme="minorHAnsi"/>
          <w:sz w:val="24"/>
          <w:szCs w:val="24"/>
        </w:rPr>
        <w:t>.</w:t>
      </w:r>
    </w:p>
    <w:p w:rsidR="00A1790C" w:rsidRPr="00772E03" w:rsidRDefault="00A1790C" w:rsidP="00D83F97">
      <w:pPr>
        <w:tabs>
          <w:tab w:val="left" w:pos="2828"/>
        </w:tabs>
        <w:spacing w:line="360" w:lineRule="auto"/>
        <w:jc w:val="both"/>
        <w:rPr>
          <w:rFonts w:asciiTheme="minorHAnsi" w:hAnsiTheme="minorHAnsi" w:cstheme="minorHAnsi"/>
          <w:sz w:val="24"/>
          <w:szCs w:val="24"/>
        </w:rPr>
      </w:pPr>
    </w:p>
    <w:p w:rsidR="00884F1B" w:rsidRPr="00772E03" w:rsidRDefault="00B343A0" w:rsidP="00884F1B">
      <w:pPr>
        <w:tabs>
          <w:tab w:val="left" w:pos="2828"/>
        </w:tabs>
        <w:spacing w:line="360" w:lineRule="auto"/>
        <w:jc w:val="center"/>
        <w:rPr>
          <w:rFonts w:asciiTheme="minorHAnsi" w:hAnsiTheme="minorHAnsi" w:cstheme="minorHAnsi"/>
          <w:b/>
          <w:bCs/>
          <w:sz w:val="24"/>
          <w:szCs w:val="24"/>
        </w:rPr>
      </w:pPr>
      <w:r w:rsidRPr="00772E03">
        <w:rPr>
          <w:rFonts w:asciiTheme="minorHAnsi" w:hAnsiTheme="minorHAnsi" w:cstheme="minorHAnsi"/>
          <w:b/>
          <w:bCs/>
          <w:noProof/>
          <w:sz w:val="24"/>
          <w:szCs w:val="24"/>
          <w:lang w:eastAsia="es-MX"/>
        </w:rPr>
        <w:drawing>
          <wp:inline distT="0" distB="0" distL="0" distR="0">
            <wp:extent cx="5056916" cy="3046880"/>
            <wp:effectExtent l="57150" t="19050" r="67534" b="58270"/>
            <wp:docPr id="15"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9B1733" w:rsidRPr="00772E03" w:rsidRDefault="009B1733" w:rsidP="009B1733">
      <w:pPr>
        <w:spacing w:line="360" w:lineRule="auto"/>
        <w:jc w:val="both"/>
        <w:rPr>
          <w:rFonts w:asciiTheme="minorHAnsi" w:eastAsia="Times New Roman" w:hAnsiTheme="minorHAnsi" w:cstheme="minorHAnsi"/>
          <w:color w:val="000000"/>
          <w:sz w:val="24"/>
          <w:szCs w:val="24"/>
          <w:lang w:eastAsia="es-MX" w:bidi="hi-IN"/>
        </w:rPr>
      </w:pPr>
      <w:r w:rsidRPr="00772E03">
        <w:rPr>
          <w:rFonts w:asciiTheme="minorHAnsi" w:hAnsiTheme="minorHAnsi" w:cstheme="minorHAnsi"/>
          <w:sz w:val="24"/>
          <w:szCs w:val="24"/>
        </w:rPr>
        <w:lastRenderedPageBreak/>
        <w:t xml:space="preserve">Las Instituciones bancarias con mayor número de sucursales en el municipio de Coatzacoalcos son: Bancomer con 7 sucursales, Banamex y Banco Azteca cuentan con 6 sucursales bancarias cada uno, Santander </w:t>
      </w:r>
      <w:proofErr w:type="spellStart"/>
      <w:r w:rsidRPr="00772E03">
        <w:rPr>
          <w:rFonts w:asciiTheme="minorHAnsi" w:hAnsiTheme="minorHAnsi" w:cstheme="minorHAnsi"/>
          <w:sz w:val="24"/>
          <w:szCs w:val="24"/>
        </w:rPr>
        <w:t>Serfin</w:t>
      </w:r>
      <w:proofErr w:type="spellEnd"/>
      <w:r w:rsidRPr="00772E03">
        <w:rPr>
          <w:rFonts w:asciiTheme="minorHAnsi" w:hAnsiTheme="minorHAnsi" w:cstheme="minorHAnsi"/>
          <w:sz w:val="24"/>
          <w:szCs w:val="24"/>
        </w:rPr>
        <w:t xml:space="preserve"> tiene 5 sucursales, HSBC 3 instituciones bancarias y SCOTIABANK INVERLAT</w:t>
      </w:r>
      <w:r w:rsidRPr="00772E03">
        <w:rPr>
          <w:rFonts w:asciiTheme="minorHAnsi" w:eastAsia="Times New Roman" w:hAnsiTheme="minorHAnsi" w:cstheme="minorHAnsi"/>
          <w:color w:val="000000"/>
          <w:sz w:val="24"/>
          <w:szCs w:val="24"/>
          <w:lang w:eastAsia="es-MX" w:bidi="hi-IN"/>
        </w:rPr>
        <w:t xml:space="preserve"> y, Banorte solo tienen 2 sucursales.</w:t>
      </w:r>
    </w:p>
    <w:p w:rsidR="009B1733" w:rsidRPr="00772E03" w:rsidRDefault="009B1733" w:rsidP="009B1733">
      <w:pPr>
        <w:tabs>
          <w:tab w:val="left" w:pos="2828"/>
        </w:tabs>
        <w:rPr>
          <w:rFonts w:asciiTheme="minorHAnsi" w:hAnsiTheme="minorHAnsi" w:cstheme="minorHAnsi"/>
          <w:sz w:val="24"/>
          <w:szCs w:val="24"/>
        </w:rPr>
      </w:pPr>
    </w:p>
    <w:p w:rsidR="009B1733" w:rsidRPr="00772E03" w:rsidRDefault="0029009B" w:rsidP="009B1733">
      <w:pPr>
        <w:tabs>
          <w:tab w:val="left" w:pos="2828"/>
        </w:tabs>
        <w:jc w:val="center"/>
        <w:rPr>
          <w:rFonts w:asciiTheme="minorHAnsi" w:hAnsiTheme="minorHAnsi" w:cstheme="minorHAnsi"/>
          <w:sz w:val="24"/>
          <w:szCs w:val="24"/>
        </w:rPr>
      </w:pPr>
      <w:r w:rsidRPr="0029009B">
        <w:rPr>
          <w:rFonts w:asciiTheme="minorHAnsi" w:hAnsiTheme="minorHAnsi" w:cstheme="minorHAnsi"/>
          <w:b/>
          <w:noProof/>
          <w:sz w:val="24"/>
          <w:szCs w:val="24"/>
          <w:lang w:eastAsia="es-MX" w:bidi="hi-IN"/>
        </w:rPr>
        <w:pict>
          <v:shape id="_x0000_s1138" type="#_x0000_t202" style="position:absolute;left:0;text-align:left;margin-left:192.85pt;margin-top:201.65pt;width:195.75pt;height:16.45pt;z-index:251759616" stroked="f">
            <v:textbox style="mso-next-textbox:#_x0000_s1138">
              <w:txbxContent>
                <w:p w:rsidR="00912E32" w:rsidRPr="009B78FE" w:rsidRDefault="00912E32" w:rsidP="00884F1B">
                  <w:pPr>
                    <w:spacing w:after="0" w:line="240" w:lineRule="auto"/>
                    <w:jc w:val="right"/>
                    <w:rPr>
                      <w:sz w:val="14"/>
                      <w:szCs w:val="14"/>
                    </w:rPr>
                  </w:pPr>
                  <w:r w:rsidRPr="009B78FE">
                    <w:rPr>
                      <w:sz w:val="14"/>
                      <w:szCs w:val="14"/>
                    </w:rPr>
                    <w:t>Fuente: Asociación de Bancos de México, A.C.</w:t>
                  </w:r>
                </w:p>
              </w:txbxContent>
            </v:textbox>
          </v:shape>
        </w:pict>
      </w:r>
      <w:r w:rsidR="009B1733" w:rsidRPr="00772E03">
        <w:rPr>
          <w:rFonts w:asciiTheme="minorHAnsi" w:hAnsiTheme="minorHAnsi" w:cstheme="minorHAnsi"/>
          <w:noProof/>
          <w:sz w:val="24"/>
          <w:szCs w:val="24"/>
          <w:lang w:eastAsia="es-MX"/>
        </w:rPr>
        <w:drawing>
          <wp:inline distT="0" distB="0" distL="0" distR="0">
            <wp:extent cx="4506541" cy="2749266"/>
            <wp:effectExtent l="57150" t="19050" r="84509" b="51084"/>
            <wp:docPr id="270"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9B1733" w:rsidRPr="00772E03" w:rsidRDefault="009B1733" w:rsidP="009B1733">
      <w:pPr>
        <w:spacing w:line="360" w:lineRule="auto"/>
        <w:jc w:val="both"/>
        <w:rPr>
          <w:rFonts w:asciiTheme="minorHAnsi" w:hAnsiTheme="minorHAnsi" w:cstheme="minorHAnsi"/>
          <w:b/>
          <w:sz w:val="24"/>
          <w:szCs w:val="24"/>
        </w:rPr>
      </w:pPr>
    </w:p>
    <w:p w:rsidR="00832F98" w:rsidRPr="00772E03" w:rsidRDefault="00832F98" w:rsidP="00832F98">
      <w:pPr>
        <w:spacing w:line="360" w:lineRule="auto"/>
        <w:jc w:val="both"/>
        <w:rPr>
          <w:rFonts w:asciiTheme="minorHAnsi" w:hAnsiTheme="minorHAnsi" w:cstheme="minorHAnsi"/>
          <w:b/>
          <w:bCs/>
          <w:sz w:val="24"/>
          <w:szCs w:val="24"/>
          <w:lang w:eastAsia="es-MX"/>
        </w:rPr>
      </w:pPr>
      <w:r w:rsidRPr="00772E03">
        <w:rPr>
          <w:rFonts w:asciiTheme="minorHAnsi" w:hAnsiTheme="minorHAnsi" w:cstheme="minorHAnsi"/>
          <w:sz w:val="24"/>
          <w:szCs w:val="24"/>
        </w:rPr>
        <w:t xml:space="preserve">En el estado de Veracruz se realizó una captación tradicional en moneda nacional de </w:t>
      </w:r>
      <w:r w:rsidRPr="00772E03">
        <w:rPr>
          <w:rFonts w:asciiTheme="minorHAnsi" w:hAnsiTheme="minorHAnsi" w:cstheme="minorHAnsi"/>
          <w:bCs/>
          <w:sz w:val="24"/>
          <w:szCs w:val="24"/>
          <w:lang w:eastAsia="es-MX"/>
        </w:rPr>
        <w:t>49 millones 516 mil 192 pesos, de los cuales el municipio de Coatzacoalcos captó 3 millones 344 mil 955 pesos, ubicándose en el 3° lugar, solo por debajo de Xalapa que captó 10 millones 791 mil 868 pesos y Veracruz con 10 millones 011 mil 960 pesos.</w:t>
      </w:r>
    </w:p>
    <w:p w:rsidR="00832F98" w:rsidRPr="00772E03" w:rsidRDefault="00832F98" w:rsidP="00832F98">
      <w:pPr>
        <w:rPr>
          <w:rFonts w:asciiTheme="minorHAnsi" w:hAnsiTheme="minorHAnsi" w:cstheme="minorHAnsi"/>
          <w:sz w:val="24"/>
          <w:szCs w:val="24"/>
        </w:rPr>
      </w:pPr>
    </w:p>
    <w:p w:rsidR="00832F98" w:rsidRPr="00772E03" w:rsidRDefault="00832F98" w:rsidP="009E0FB9">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inline distT="0" distB="0" distL="0" distR="0">
            <wp:extent cx="4916432" cy="3057637"/>
            <wp:effectExtent l="57150" t="19050" r="74668" b="66563"/>
            <wp:docPr id="146" name="Gráfico 146"/>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2E04FA" w:rsidRPr="00772E03" w:rsidRDefault="002E04FA" w:rsidP="002E04FA">
      <w:pPr>
        <w:rPr>
          <w:rFonts w:asciiTheme="minorHAnsi" w:hAnsiTheme="minorHAnsi" w:cstheme="minorHAnsi"/>
          <w:sz w:val="24"/>
          <w:szCs w:val="24"/>
        </w:rPr>
      </w:pPr>
    </w:p>
    <w:p w:rsidR="002E04FA" w:rsidRPr="00772E03" w:rsidRDefault="002E04FA" w:rsidP="007329A6">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índice de captación en Coat</w:t>
      </w:r>
      <w:r w:rsidR="006C0D5B" w:rsidRPr="00772E03">
        <w:rPr>
          <w:rFonts w:asciiTheme="minorHAnsi" w:hAnsiTheme="minorHAnsi" w:cstheme="minorHAnsi"/>
          <w:sz w:val="24"/>
          <w:szCs w:val="24"/>
        </w:rPr>
        <w:t>zacoalcos representa el 11.70, es decir, que de los 3 millones 344 mil 955 pesos captados fue gracias a las 285 mil  855 personas que hicieron s</w:t>
      </w:r>
      <w:r w:rsidR="00566389" w:rsidRPr="00772E03">
        <w:rPr>
          <w:rFonts w:asciiTheme="minorHAnsi" w:hAnsiTheme="minorHAnsi" w:cstheme="minorHAnsi"/>
          <w:sz w:val="24"/>
          <w:szCs w:val="24"/>
        </w:rPr>
        <w:t>us diversas transferencias</w:t>
      </w:r>
      <w:r w:rsidR="006C0D5B" w:rsidRPr="00772E03">
        <w:rPr>
          <w:rFonts w:asciiTheme="minorHAnsi" w:hAnsiTheme="minorHAnsi" w:cstheme="minorHAnsi"/>
          <w:sz w:val="24"/>
          <w:szCs w:val="24"/>
        </w:rPr>
        <w:t>.</w:t>
      </w:r>
    </w:p>
    <w:p w:rsidR="002E04FA" w:rsidRPr="00772E03" w:rsidRDefault="0029009B" w:rsidP="009E0FB9">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52" type="#_x0000_t202" style="position:absolute;left:0;text-align:left;margin-left:112.45pt;margin-top:249.5pt;width:279.35pt;height:16.45pt;z-index:251771904" stroked="f">
            <v:textbox style="mso-next-textbox:#_x0000_s1152">
              <w:txbxContent>
                <w:p w:rsidR="00912E32" w:rsidRPr="009B78FE" w:rsidRDefault="00912E32" w:rsidP="006C0D5B">
                  <w:pPr>
                    <w:spacing w:after="0" w:line="240" w:lineRule="auto"/>
                    <w:jc w:val="right"/>
                    <w:rPr>
                      <w:sz w:val="14"/>
                      <w:szCs w:val="14"/>
                    </w:rPr>
                  </w:pPr>
                  <w:r>
                    <w:rPr>
                      <w:sz w:val="14"/>
                      <w:szCs w:val="14"/>
                    </w:rPr>
                    <w:t>Fuente: Elaborado con datos del Anuario Estadístico del estado de Veracruz 2008. INEGI.</w:t>
                  </w:r>
                  <w:r w:rsidRPr="009B78FE">
                    <w:rPr>
                      <w:sz w:val="14"/>
                      <w:szCs w:val="14"/>
                    </w:rPr>
                    <w:t>.</w:t>
                  </w:r>
                </w:p>
              </w:txbxContent>
            </v:textbox>
          </v:shape>
        </w:pict>
      </w:r>
      <w:r w:rsidR="002E04FA" w:rsidRPr="00772E03">
        <w:rPr>
          <w:rFonts w:asciiTheme="minorHAnsi" w:hAnsiTheme="minorHAnsi" w:cstheme="minorHAnsi"/>
          <w:noProof/>
          <w:sz w:val="24"/>
          <w:szCs w:val="24"/>
          <w:lang w:eastAsia="es-MX"/>
        </w:rPr>
        <w:drawing>
          <wp:inline distT="0" distB="0" distL="0" distR="0">
            <wp:extent cx="4573484" cy="3361148"/>
            <wp:effectExtent l="57150" t="19050" r="74716" b="48802"/>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832F98" w:rsidRPr="00772E03" w:rsidRDefault="00832F98" w:rsidP="00832F98">
      <w:pPr>
        <w:spacing w:line="360" w:lineRule="auto"/>
        <w:jc w:val="both"/>
        <w:rPr>
          <w:rFonts w:asciiTheme="minorHAnsi" w:hAnsiTheme="minorHAnsi" w:cstheme="minorHAnsi"/>
          <w:sz w:val="24"/>
          <w:szCs w:val="24"/>
          <w:lang w:eastAsia="es-MX"/>
        </w:rPr>
      </w:pPr>
      <w:r w:rsidRPr="00772E03">
        <w:rPr>
          <w:rFonts w:asciiTheme="minorHAnsi" w:hAnsiTheme="minorHAnsi" w:cstheme="minorHAnsi"/>
          <w:sz w:val="24"/>
          <w:szCs w:val="24"/>
        </w:rPr>
        <w:lastRenderedPageBreak/>
        <w:t xml:space="preserve">Del total de recursos captados de la banca comercial en el municipio, la mayor proporción corresponde a cuentas de cheque con </w:t>
      </w:r>
      <w:r w:rsidR="00A45BB6" w:rsidRPr="00772E03">
        <w:rPr>
          <w:rFonts w:asciiTheme="minorHAnsi" w:hAnsiTheme="minorHAnsi" w:cstheme="minorHAnsi"/>
          <w:sz w:val="24"/>
          <w:szCs w:val="24"/>
          <w:lang w:eastAsia="es-MX"/>
        </w:rPr>
        <w:t>1 millón</w:t>
      </w:r>
      <w:r w:rsidRPr="00772E03">
        <w:rPr>
          <w:rFonts w:asciiTheme="minorHAnsi" w:hAnsiTheme="minorHAnsi" w:cstheme="minorHAnsi"/>
          <w:sz w:val="24"/>
          <w:szCs w:val="24"/>
          <w:lang w:eastAsia="es-MX"/>
        </w:rPr>
        <w:t xml:space="preserve"> 860 mil 722 pesos</w:t>
      </w:r>
      <w:r w:rsidR="00A45BB6" w:rsidRPr="00772E03">
        <w:rPr>
          <w:rFonts w:asciiTheme="minorHAnsi" w:hAnsiTheme="minorHAnsi" w:cstheme="minorHAnsi"/>
          <w:sz w:val="24"/>
          <w:szCs w:val="24"/>
          <w:lang w:eastAsia="es-MX"/>
        </w:rPr>
        <w:t>, que equivale al 54% del total;</w:t>
      </w:r>
      <w:r w:rsidRPr="00772E03">
        <w:rPr>
          <w:rFonts w:asciiTheme="minorHAnsi" w:hAnsiTheme="minorHAnsi" w:cstheme="minorHAnsi"/>
          <w:sz w:val="24"/>
          <w:szCs w:val="24"/>
          <w:lang w:eastAsia="es-MX"/>
        </w:rPr>
        <w:t xml:space="preserve"> le siguen los depósitos a plazo con  el 25%, que en términos absolutos son 844 mil 649 pesos y los depósitos de nómina con 636 mil 426 pesos, es decir 19% del total.</w:t>
      </w: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lang w:eastAsia="es-MX"/>
        </w:rPr>
        <w:t xml:space="preserve">Mientras que la captación en moneda extranjera y los depósitos de ahorro representan de manera conjunta solo el 2.1% del total de recursos captados de la banca comercial en el municipio. </w:t>
      </w:r>
    </w:p>
    <w:p w:rsidR="00832F98" w:rsidRPr="00772E03" w:rsidRDefault="00832F98" w:rsidP="00DA1F57">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drawing>
          <wp:inline distT="0" distB="0" distL="0" distR="0">
            <wp:extent cx="4655343" cy="3512343"/>
            <wp:effectExtent l="57150" t="19050" r="69057" b="50007"/>
            <wp:docPr id="147" name="Gráfico 147"/>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832F98" w:rsidRPr="00772E03" w:rsidRDefault="00832F98" w:rsidP="009B1733">
      <w:pPr>
        <w:spacing w:line="360" w:lineRule="auto"/>
        <w:jc w:val="both"/>
        <w:rPr>
          <w:rFonts w:asciiTheme="minorHAnsi" w:hAnsiTheme="minorHAnsi" w:cstheme="minorHAnsi"/>
          <w:b/>
          <w:sz w:val="24"/>
          <w:szCs w:val="24"/>
        </w:rPr>
      </w:pPr>
    </w:p>
    <w:p w:rsidR="00A540B0" w:rsidRPr="00772E03" w:rsidRDefault="00A540B0" w:rsidP="009B1733">
      <w:pPr>
        <w:spacing w:line="360" w:lineRule="auto"/>
        <w:rPr>
          <w:rFonts w:asciiTheme="minorHAnsi" w:hAnsiTheme="minorHAnsi" w:cstheme="minorHAnsi"/>
          <w:b/>
          <w:bCs/>
          <w:sz w:val="24"/>
          <w:szCs w:val="24"/>
        </w:rPr>
      </w:pPr>
    </w:p>
    <w:p w:rsidR="00A540B0" w:rsidRPr="00772E03" w:rsidRDefault="00A540B0" w:rsidP="009B1733">
      <w:pPr>
        <w:spacing w:line="360" w:lineRule="auto"/>
        <w:rPr>
          <w:rFonts w:asciiTheme="minorHAnsi" w:hAnsiTheme="minorHAnsi" w:cstheme="minorHAnsi"/>
          <w:b/>
          <w:bCs/>
          <w:sz w:val="24"/>
          <w:szCs w:val="24"/>
        </w:rPr>
      </w:pPr>
    </w:p>
    <w:p w:rsidR="00A540B0" w:rsidRPr="00772E03" w:rsidRDefault="00A540B0" w:rsidP="009B1733">
      <w:pPr>
        <w:spacing w:line="360" w:lineRule="auto"/>
        <w:rPr>
          <w:rFonts w:asciiTheme="minorHAnsi" w:hAnsiTheme="minorHAnsi" w:cstheme="minorHAnsi"/>
          <w:b/>
          <w:bCs/>
          <w:sz w:val="24"/>
          <w:szCs w:val="24"/>
        </w:rPr>
      </w:pPr>
    </w:p>
    <w:p w:rsidR="00A540B0" w:rsidRPr="00772E03" w:rsidRDefault="00A540B0" w:rsidP="009B1733">
      <w:pPr>
        <w:spacing w:line="360" w:lineRule="auto"/>
        <w:rPr>
          <w:rFonts w:asciiTheme="minorHAnsi" w:hAnsiTheme="minorHAnsi" w:cstheme="minorHAnsi"/>
          <w:b/>
          <w:bCs/>
          <w:sz w:val="24"/>
          <w:szCs w:val="24"/>
        </w:rPr>
      </w:pP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Remesas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Las remesas son cantidades de dinero enviadas por emigrantes a su país de origen y el municipio de Coatzacoalcos se ubica en el 11° lugar a nivel estatal que recibe remesas para el año 2007, representando anualmente 20 millones 309 mil 478 dólares. Está situación beneficia en gran medida a 899 hogares y sobre todo a la economía municipal. </w:t>
      </w:r>
    </w:p>
    <w:p w:rsidR="00B17B78" w:rsidRPr="00772E03" w:rsidRDefault="00B17B78" w:rsidP="00B17B78">
      <w:pPr>
        <w:spacing w:line="360" w:lineRule="auto"/>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drawing>
          <wp:inline distT="0" distB="0" distL="0" distR="0">
            <wp:extent cx="4751670" cy="4116345"/>
            <wp:effectExtent l="57150" t="19050" r="67980" b="55605"/>
            <wp:docPr id="10"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DA1F57" w:rsidRPr="00772E03" w:rsidRDefault="00DA1F57" w:rsidP="009B1733">
      <w:pPr>
        <w:spacing w:line="360" w:lineRule="auto"/>
        <w:jc w:val="both"/>
        <w:rPr>
          <w:rFonts w:asciiTheme="minorHAnsi" w:hAnsiTheme="minorHAnsi" w:cstheme="minorHAnsi"/>
          <w:sz w:val="24"/>
          <w:szCs w:val="24"/>
        </w:rPr>
      </w:pPr>
    </w:p>
    <w:p w:rsidR="00A540B0" w:rsidRPr="00772E03" w:rsidRDefault="00A540B0" w:rsidP="00832F98">
      <w:pPr>
        <w:spacing w:line="360" w:lineRule="auto"/>
        <w:rPr>
          <w:rFonts w:asciiTheme="minorHAnsi" w:hAnsiTheme="minorHAnsi" w:cstheme="minorHAnsi"/>
          <w:b/>
          <w:bCs/>
          <w:sz w:val="24"/>
          <w:szCs w:val="24"/>
        </w:rPr>
      </w:pPr>
    </w:p>
    <w:p w:rsidR="00A540B0" w:rsidRPr="00772E03" w:rsidRDefault="00A540B0" w:rsidP="00832F98">
      <w:pPr>
        <w:spacing w:line="360" w:lineRule="auto"/>
        <w:rPr>
          <w:rFonts w:asciiTheme="minorHAnsi" w:hAnsiTheme="minorHAnsi" w:cstheme="minorHAnsi"/>
          <w:b/>
          <w:bCs/>
          <w:sz w:val="24"/>
          <w:szCs w:val="24"/>
        </w:rPr>
      </w:pPr>
    </w:p>
    <w:p w:rsidR="00A540B0" w:rsidRPr="00772E03" w:rsidRDefault="00A540B0" w:rsidP="00832F98">
      <w:pPr>
        <w:spacing w:line="360" w:lineRule="auto"/>
        <w:rPr>
          <w:rFonts w:asciiTheme="minorHAnsi" w:hAnsiTheme="minorHAnsi" w:cstheme="minorHAnsi"/>
          <w:b/>
          <w:bCs/>
          <w:sz w:val="24"/>
          <w:szCs w:val="24"/>
        </w:rPr>
      </w:pPr>
    </w:p>
    <w:p w:rsidR="00A540B0" w:rsidRPr="00772E03" w:rsidRDefault="00A540B0" w:rsidP="00832F98">
      <w:pPr>
        <w:spacing w:line="360" w:lineRule="auto"/>
        <w:rPr>
          <w:rFonts w:asciiTheme="minorHAnsi" w:hAnsiTheme="minorHAnsi" w:cstheme="minorHAnsi"/>
          <w:b/>
          <w:bCs/>
          <w:sz w:val="24"/>
          <w:szCs w:val="24"/>
        </w:rPr>
      </w:pPr>
    </w:p>
    <w:p w:rsidR="00832F98" w:rsidRPr="00772E03" w:rsidRDefault="00832F98" w:rsidP="00832F98">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Turismo</w:t>
      </w: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municipio de Coatzacoalcos se encuentra en el 7° lugar a nivel estatal en cuanto a establecimientos de hospedaje; es decir, tiene un total de 42 hoteles de los cuales solamente 1 es de cinco estrellas, 9 de cuatro estrellas, 5 de dos estrellas, 6 de una estrella y 12 hoteles son considerados sin categoría.</w:t>
      </w: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39" type="#_x0000_t202" style="position:absolute;left:0;text-align:left;margin-left:215.05pt;margin-top:122.2pt;width:172.2pt;height:24.3pt;z-index:251760640" stroked="f">
            <v:textbox style="mso-next-textbox:#_x0000_s1139">
              <w:txbxContent>
                <w:p w:rsidR="00912E32" w:rsidRPr="00DA1F57" w:rsidRDefault="00912E32" w:rsidP="00DA1F57">
                  <w:pPr>
                    <w:jc w:val="center"/>
                    <w:rPr>
                      <w:sz w:val="12"/>
                      <w:szCs w:val="12"/>
                    </w:rPr>
                  </w:pPr>
                  <w:r w:rsidRPr="00DA1F57">
                    <w:rPr>
                      <w:sz w:val="12"/>
                      <w:szCs w:val="12"/>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317751" cy="2869924"/>
            <wp:effectExtent l="57150" t="19050" r="82799" b="63776"/>
            <wp:docPr id="148"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B17B78" w:rsidRPr="00772E03" w:rsidRDefault="00B17B78" w:rsidP="00832F98">
      <w:pPr>
        <w:tabs>
          <w:tab w:val="left" w:pos="501"/>
        </w:tabs>
        <w:spacing w:line="360" w:lineRule="auto"/>
        <w:jc w:val="both"/>
        <w:rPr>
          <w:rFonts w:asciiTheme="minorHAnsi" w:hAnsiTheme="minorHAnsi" w:cstheme="minorHAnsi"/>
          <w:sz w:val="24"/>
          <w:szCs w:val="24"/>
        </w:rPr>
      </w:pPr>
    </w:p>
    <w:p w:rsidR="00832F98" w:rsidRPr="00772E03" w:rsidRDefault="00832F98" w:rsidP="00832F98">
      <w:pPr>
        <w:tabs>
          <w:tab w:val="left" w:pos="501"/>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Coatzacoalcos tiene registrados 1,882 cuartos de hospedaje ocupando el 5° lugar a nivel estatal; por lo tanto, el 38% se encuentran en la categoría de cuatro estrellas (716 cuartos), 19% sin categoría (352 cuartos), el 15% es de tres estrellas (279 cuartos) y con un 10% se encuentra la categoría de una estrella y cinco estrellas con (198 cuartos cada una de las categorías) y con un 8% el de dos estrellas (148 cuartos de hospedaje).</w:t>
      </w:r>
    </w:p>
    <w:p w:rsidR="00832F98" w:rsidRPr="00772E03" w:rsidRDefault="00832F98" w:rsidP="00832F98">
      <w:pPr>
        <w:tabs>
          <w:tab w:val="left" w:pos="501"/>
        </w:tabs>
        <w:jc w:val="both"/>
        <w:rPr>
          <w:rFonts w:asciiTheme="minorHAnsi" w:hAnsiTheme="minorHAnsi" w:cstheme="minorHAnsi"/>
          <w:sz w:val="24"/>
          <w:szCs w:val="24"/>
        </w:rPr>
      </w:pPr>
    </w:p>
    <w:p w:rsidR="00832F98" w:rsidRPr="00772E03" w:rsidRDefault="0029009B" w:rsidP="00832F98">
      <w:pPr>
        <w:tabs>
          <w:tab w:val="left" w:pos="501"/>
        </w:tabs>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40" type="#_x0000_t202" style="position:absolute;left:0;text-align:left;margin-left:76.4pt;margin-top:181.5pt;width:287.3pt;height:17.3pt;z-index:251761664" stroked="f">
            <v:textbox style="mso-next-textbox:#_x0000_s1140">
              <w:txbxContent>
                <w:p w:rsidR="00912E32" w:rsidRPr="003E7DE8" w:rsidRDefault="00912E32" w:rsidP="00DA1F57">
                  <w:pPr>
                    <w:spacing w:after="0" w:line="240" w:lineRule="auto"/>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176920" cy="2512695"/>
            <wp:effectExtent l="57150" t="19050" r="71230" b="59055"/>
            <wp:docPr id="149"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832F98" w:rsidRPr="00772E03" w:rsidRDefault="00832F98" w:rsidP="00832F98">
      <w:pPr>
        <w:spacing w:line="360" w:lineRule="auto"/>
        <w:jc w:val="both"/>
        <w:rPr>
          <w:rFonts w:asciiTheme="minorHAnsi" w:hAnsiTheme="minorHAnsi" w:cstheme="minorHAnsi"/>
          <w:sz w:val="24"/>
          <w:szCs w:val="24"/>
          <w:lang w:eastAsia="es-MX"/>
        </w:rPr>
      </w:pPr>
      <w:r w:rsidRPr="00772E03">
        <w:rPr>
          <w:rFonts w:asciiTheme="minorHAnsi" w:hAnsiTheme="minorHAnsi" w:cstheme="minorHAnsi"/>
          <w:sz w:val="24"/>
          <w:szCs w:val="24"/>
        </w:rPr>
        <w:t>El número de turistas que se hospedaron en el municipio de Coatzacoalcos</w:t>
      </w:r>
      <w:r w:rsidR="00A45BB6" w:rsidRPr="00772E03">
        <w:rPr>
          <w:rFonts w:asciiTheme="minorHAnsi" w:hAnsiTheme="minorHAnsi" w:cstheme="minorHAnsi"/>
          <w:sz w:val="24"/>
          <w:szCs w:val="24"/>
        </w:rPr>
        <w:t xml:space="preserve"> durante 2007;</w:t>
      </w:r>
      <w:r w:rsidRPr="00772E03">
        <w:rPr>
          <w:rFonts w:asciiTheme="minorHAnsi" w:hAnsiTheme="minorHAnsi" w:cstheme="minorHAnsi"/>
          <w:sz w:val="24"/>
          <w:szCs w:val="24"/>
        </w:rPr>
        <w:t xml:space="preserve"> fue de </w:t>
      </w:r>
      <w:r w:rsidR="00A45BB6" w:rsidRPr="00772E03">
        <w:rPr>
          <w:rFonts w:asciiTheme="minorHAnsi" w:hAnsiTheme="minorHAnsi" w:cstheme="minorHAnsi"/>
          <w:sz w:val="24"/>
          <w:szCs w:val="24"/>
          <w:lang w:eastAsia="es-MX"/>
        </w:rPr>
        <w:t xml:space="preserve">136 mil 423; </w:t>
      </w:r>
      <w:r w:rsidRPr="00772E03">
        <w:rPr>
          <w:rFonts w:asciiTheme="minorHAnsi" w:hAnsiTheme="minorHAnsi" w:cstheme="minorHAnsi"/>
          <w:sz w:val="24"/>
          <w:szCs w:val="24"/>
          <w:lang w:eastAsia="es-MX"/>
        </w:rPr>
        <w:t xml:space="preserve">la mayor parte </w:t>
      </w:r>
      <w:r w:rsidR="00A45BB6" w:rsidRPr="00772E03">
        <w:rPr>
          <w:rFonts w:asciiTheme="minorHAnsi" w:hAnsiTheme="minorHAnsi" w:cstheme="minorHAnsi"/>
          <w:sz w:val="24"/>
          <w:szCs w:val="24"/>
          <w:lang w:eastAsia="es-MX"/>
        </w:rPr>
        <w:t xml:space="preserve">de ellos </w:t>
      </w:r>
      <w:r w:rsidRPr="00772E03">
        <w:rPr>
          <w:rFonts w:asciiTheme="minorHAnsi" w:hAnsiTheme="minorHAnsi" w:cstheme="minorHAnsi"/>
          <w:sz w:val="24"/>
          <w:szCs w:val="24"/>
          <w:lang w:eastAsia="es-MX"/>
        </w:rPr>
        <w:t>se hospedaron en establecimientos de 4 estrellas,  ya que fueron 62 mil</w:t>
      </w:r>
      <w:r w:rsidR="00A45BB6" w:rsidRPr="00772E03">
        <w:rPr>
          <w:rFonts w:asciiTheme="minorHAnsi" w:hAnsiTheme="minorHAnsi" w:cstheme="minorHAnsi"/>
          <w:sz w:val="24"/>
          <w:szCs w:val="24"/>
          <w:lang w:eastAsia="es-MX"/>
        </w:rPr>
        <w:t xml:space="preserve"> 503 turistas, mientras que </w:t>
      </w:r>
      <w:r w:rsidRPr="00772E03">
        <w:rPr>
          <w:rFonts w:asciiTheme="minorHAnsi" w:hAnsiTheme="minorHAnsi" w:cstheme="minorHAnsi"/>
          <w:sz w:val="24"/>
          <w:szCs w:val="24"/>
          <w:lang w:eastAsia="es-MX"/>
        </w:rPr>
        <w:t>5</w:t>
      </w:r>
      <w:r w:rsidR="00A45BB6" w:rsidRPr="00772E03">
        <w:rPr>
          <w:rFonts w:asciiTheme="minorHAnsi" w:hAnsiTheme="minorHAnsi" w:cstheme="minorHAnsi"/>
          <w:sz w:val="24"/>
          <w:szCs w:val="24"/>
          <w:lang w:eastAsia="es-MX"/>
        </w:rPr>
        <w:t xml:space="preserve"> mil 886 se hospedaron en hoteles de una estrella.</w:t>
      </w:r>
    </w:p>
    <w:p w:rsidR="00832F98" w:rsidRPr="00772E03" w:rsidRDefault="00832F98" w:rsidP="00832F98">
      <w:pPr>
        <w:rPr>
          <w:rFonts w:asciiTheme="minorHAnsi" w:hAnsiTheme="minorHAnsi" w:cstheme="minorHAnsi"/>
          <w:sz w:val="24"/>
          <w:szCs w:val="24"/>
        </w:rPr>
      </w:pPr>
    </w:p>
    <w:p w:rsidR="00832F98" w:rsidRPr="00772E03" w:rsidRDefault="0029009B" w:rsidP="00832F9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41" type="#_x0000_t202" style="position:absolute;left:0;text-align:left;margin-left:67.75pt;margin-top:176.95pt;width:303.85pt;height:16.25pt;z-index:251762688" stroked="f">
            <v:textbox style="mso-next-textbox:#_x0000_s1141">
              <w:txbxContent>
                <w:p w:rsidR="00912E32" w:rsidRPr="003E7DE8" w:rsidRDefault="00912E32" w:rsidP="00025A8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067230" cy="2432602"/>
            <wp:effectExtent l="57150" t="19050" r="85670" b="62948"/>
            <wp:docPr id="150"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832F98" w:rsidRPr="00772E03" w:rsidRDefault="00832F98" w:rsidP="00832F98">
      <w:pPr>
        <w:jc w:val="center"/>
        <w:rPr>
          <w:rFonts w:asciiTheme="minorHAnsi" w:hAnsiTheme="minorHAnsi" w:cstheme="minorHAnsi"/>
          <w:sz w:val="24"/>
          <w:szCs w:val="24"/>
        </w:rPr>
      </w:pP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el municipio de Coatzacoalcos existen 305 establecimientos de preparación y servicios de alimentos y de bebidas, de los cuales 218 son restaurantes, hay 37 restaurantes-bar, 13 cafeterías, 10 discotecas y centros nocturnos y 27 bares.</w:t>
      </w:r>
    </w:p>
    <w:p w:rsidR="00832F98" w:rsidRPr="00772E03" w:rsidRDefault="0029009B" w:rsidP="00884F1B">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42" type="#_x0000_t202" style="position:absolute;left:0;text-align:left;margin-left:62.55pt;margin-top:214.25pt;width:318.5pt;height:16.25pt;z-index:251763712" stroked="f">
            <v:textbox style="mso-next-textbox:#_x0000_s1142">
              <w:txbxContent>
                <w:p w:rsidR="00912E32" w:rsidRPr="003E7DE8" w:rsidRDefault="00912E32" w:rsidP="00025A8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5321021" cy="2921835"/>
            <wp:effectExtent l="57150" t="19050" r="70129" b="49965"/>
            <wp:docPr id="151" name="Gráfico 15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832F98" w:rsidRPr="00772E03" w:rsidRDefault="00832F98" w:rsidP="00832F98">
      <w:pPr>
        <w:rPr>
          <w:rFonts w:asciiTheme="minorHAnsi" w:hAnsiTheme="minorHAnsi" w:cstheme="minorHAnsi"/>
          <w:sz w:val="24"/>
          <w:szCs w:val="24"/>
        </w:rPr>
      </w:pPr>
    </w:p>
    <w:p w:rsidR="00832F98" w:rsidRPr="00772E03" w:rsidRDefault="00832F98" w:rsidP="00832F9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En cuanto a las agencias de viajes, en el municipio de Coatzacoalcos existen 16, también cuenta con 10 empresas arrendadoras de automóviles y 1 transportadora turística terrestre. </w:t>
      </w:r>
    </w:p>
    <w:p w:rsidR="00832F98" w:rsidRPr="00772E03" w:rsidRDefault="0029009B" w:rsidP="00025A88">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43" type="#_x0000_t202" style="position:absolute;left:0;text-align:left;margin-left:62.55pt;margin-top:201.5pt;width:318.5pt;height:16.25pt;z-index:251764736" stroked="f">
            <v:textbox style="mso-next-textbox:#_x0000_s1143">
              <w:txbxContent>
                <w:p w:rsidR="00912E32" w:rsidRPr="003E7DE8" w:rsidRDefault="00912E32" w:rsidP="00025A88">
                  <w:pPr>
                    <w:jc w:val="center"/>
                    <w:rPr>
                      <w:sz w:val="14"/>
                      <w:szCs w:val="14"/>
                    </w:rPr>
                  </w:pPr>
                  <w:r w:rsidRPr="003E7DE8">
                    <w:rPr>
                      <w:sz w:val="14"/>
                      <w:szCs w:val="14"/>
                    </w:rPr>
                    <w:t>Fuente: Elaborado con datos del Anuario Estadístico del estado de Veracruz 2008. INEGI</w:t>
                  </w:r>
                </w:p>
              </w:txbxContent>
            </v:textbox>
          </v:shape>
        </w:pict>
      </w:r>
      <w:r w:rsidR="00832F98" w:rsidRPr="00772E03">
        <w:rPr>
          <w:rFonts w:asciiTheme="minorHAnsi" w:hAnsiTheme="minorHAnsi" w:cstheme="minorHAnsi"/>
          <w:noProof/>
          <w:sz w:val="24"/>
          <w:szCs w:val="24"/>
          <w:lang w:eastAsia="es-MX"/>
        </w:rPr>
        <w:drawing>
          <wp:inline distT="0" distB="0" distL="0" distR="0">
            <wp:extent cx="4572000" cy="2743200"/>
            <wp:effectExtent l="57150" t="19050" r="76200" b="57150"/>
            <wp:docPr id="152" name="Gráfico 152"/>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832F98" w:rsidRPr="00772E03" w:rsidRDefault="00832F98" w:rsidP="00832F98">
      <w:pPr>
        <w:rPr>
          <w:rFonts w:asciiTheme="minorHAnsi" w:hAnsiTheme="minorHAnsi" w:cstheme="minorHAnsi"/>
          <w:sz w:val="24"/>
          <w:szCs w:val="24"/>
        </w:rPr>
      </w:pPr>
    </w:p>
    <w:p w:rsidR="00832F98" w:rsidRPr="00772E03" w:rsidRDefault="00832F98" w:rsidP="00832F98">
      <w:pPr>
        <w:rPr>
          <w:rFonts w:asciiTheme="minorHAnsi" w:hAnsiTheme="minorHAnsi" w:cstheme="minorHAnsi"/>
          <w:b/>
          <w:sz w:val="24"/>
          <w:szCs w:val="24"/>
        </w:rPr>
      </w:pPr>
    </w:p>
    <w:p w:rsidR="00832F98" w:rsidRPr="00772E03" w:rsidRDefault="00832F98" w:rsidP="00B17B78">
      <w:pPr>
        <w:spacing w:line="360" w:lineRule="auto"/>
        <w:rPr>
          <w:rFonts w:asciiTheme="minorHAnsi" w:hAnsiTheme="minorHAnsi" w:cstheme="minorHAnsi"/>
          <w:b/>
          <w:sz w:val="24"/>
          <w:szCs w:val="24"/>
        </w:rPr>
      </w:pPr>
      <w:r w:rsidRPr="00772E03">
        <w:rPr>
          <w:rFonts w:asciiTheme="minorHAnsi" w:hAnsiTheme="minorHAnsi" w:cstheme="minorHAnsi"/>
          <w:b/>
          <w:sz w:val="24"/>
          <w:szCs w:val="24"/>
        </w:rPr>
        <w:t>Electricidad</w:t>
      </w:r>
    </w:p>
    <w:p w:rsidR="00832F98" w:rsidRPr="00772E03" w:rsidRDefault="00832F98" w:rsidP="00B17B78">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cuanto a las subestaciones de distribución; de las 17 existentes en el estado, 5 se localizan en el municipio de Coatzacoalcos, las cuales presentan una potencia de distribución de 240 mega volts-amperes.</w:t>
      </w:r>
    </w:p>
    <w:p w:rsidR="00832F98" w:rsidRPr="00772E03" w:rsidRDefault="00832F98" w:rsidP="00832F98">
      <w:pPr>
        <w:spacing w:line="360" w:lineRule="auto"/>
        <w:jc w:val="both"/>
        <w:rPr>
          <w:rFonts w:asciiTheme="minorHAnsi" w:hAnsiTheme="minorHAnsi" w:cstheme="minorHAnsi"/>
          <w:sz w:val="24"/>
          <w:szCs w:val="24"/>
        </w:rPr>
      </w:pPr>
    </w:p>
    <w:p w:rsidR="00832F98" w:rsidRPr="00772E03" w:rsidRDefault="00832F98" w:rsidP="00B17B78">
      <w:pPr>
        <w:spacing w:line="360" w:lineRule="auto"/>
        <w:rPr>
          <w:rFonts w:asciiTheme="minorHAnsi" w:hAnsiTheme="minorHAnsi" w:cstheme="minorHAnsi"/>
          <w:b/>
          <w:sz w:val="24"/>
          <w:szCs w:val="24"/>
        </w:rPr>
      </w:pPr>
      <w:r w:rsidRPr="00772E03">
        <w:rPr>
          <w:rFonts w:asciiTheme="minorHAnsi" w:hAnsiTheme="minorHAnsi" w:cstheme="minorHAnsi"/>
          <w:b/>
          <w:sz w:val="24"/>
          <w:szCs w:val="24"/>
        </w:rPr>
        <w:t>Apoyos productivos</w:t>
      </w:r>
    </w:p>
    <w:p w:rsidR="00832F98" w:rsidRPr="00772E03" w:rsidRDefault="00832F98" w:rsidP="00B17B78">
      <w:pPr>
        <w:tabs>
          <w:tab w:val="left" w:pos="79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cuanto a los créditos empresari</w:t>
      </w:r>
      <w:r w:rsidR="00AB320B" w:rsidRPr="00772E03">
        <w:rPr>
          <w:rFonts w:asciiTheme="minorHAnsi" w:hAnsiTheme="minorHAnsi" w:cstheme="minorHAnsi"/>
          <w:sz w:val="24"/>
          <w:szCs w:val="24"/>
        </w:rPr>
        <w:t>ales, que son otorgados por el Fideicomiso Relacionado con el Medio E</w:t>
      </w:r>
      <w:r w:rsidRPr="00772E03">
        <w:rPr>
          <w:rFonts w:asciiTheme="minorHAnsi" w:hAnsiTheme="minorHAnsi" w:cstheme="minorHAnsi"/>
          <w:sz w:val="24"/>
          <w:szCs w:val="24"/>
        </w:rPr>
        <w:t>mpresarial</w:t>
      </w:r>
      <w:r w:rsidR="00AB320B" w:rsidRPr="00772E03">
        <w:rPr>
          <w:rFonts w:asciiTheme="minorHAnsi" w:hAnsiTheme="minorHAnsi" w:cstheme="minorHAnsi"/>
          <w:sz w:val="24"/>
          <w:szCs w:val="24"/>
        </w:rPr>
        <w:t xml:space="preserve"> (FIRME)</w:t>
      </w:r>
      <w:r w:rsidRPr="00772E03">
        <w:rPr>
          <w:rFonts w:asciiTheme="minorHAnsi" w:hAnsiTheme="minorHAnsi" w:cstheme="minorHAnsi"/>
          <w:sz w:val="24"/>
          <w:szCs w:val="24"/>
        </w:rPr>
        <w:t>, en el municipio existen 3 acreditados y es en el sector comercio 2 créditos corresponden a avío</w:t>
      </w:r>
      <w:r w:rsidRPr="00772E03">
        <w:rPr>
          <w:rStyle w:val="Refdenotaalpie"/>
          <w:rFonts w:asciiTheme="minorHAnsi" w:hAnsiTheme="minorHAnsi" w:cstheme="minorHAnsi"/>
          <w:sz w:val="24"/>
          <w:szCs w:val="24"/>
        </w:rPr>
        <w:footnoteReference w:id="7"/>
      </w:r>
      <w:r w:rsidRPr="00772E03">
        <w:rPr>
          <w:rFonts w:asciiTheme="minorHAnsi" w:hAnsiTheme="minorHAnsi" w:cstheme="minorHAnsi"/>
          <w:sz w:val="24"/>
          <w:szCs w:val="24"/>
        </w:rPr>
        <w:t xml:space="preserve"> y uno es refaccionario</w:t>
      </w:r>
      <w:r w:rsidRPr="00772E03">
        <w:rPr>
          <w:rStyle w:val="Refdenotaalpie"/>
          <w:rFonts w:asciiTheme="minorHAnsi" w:hAnsiTheme="minorHAnsi" w:cstheme="minorHAnsi"/>
          <w:sz w:val="24"/>
          <w:szCs w:val="24"/>
        </w:rPr>
        <w:footnoteReference w:id="8"/>
      </w:r>
      <w:r w:rsidRPr="00772E03">
        <w:rPr>
          <w:rFonts w:asciiTheme="minorHAnsi" w:hAnsiTheme="minorHAnsi" w:cstheme="minorHAnsi"/>
          <w:sz w:val="24"/>
          <w:szCs w:val="24"/>
        </w:rPr>
        <w:t xml:space="preserve">. </w:t>
      </w:r>
    </w:p>
    <w:p w:rsidR="00B17B78" w:rsidRPr="00772E03" w:rsidRDefault="0029009B" w:rsidP="00B17B78">
      <w:pPr>
        <w:tabs>
          <w:tab w:val="left" w:pos="7952"/>
        </w:tabs>
        <w:spacing w:line="360" w:lineRule="auto"/>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44" type="#_x0000_t202" style="position:absolute;left:0;text-align:left;margin-left:81.05pt;margin-top:181.9pt;width:281.15pt;height:16.25pt;z-index:251765760" stroked="f">
            <v:textbox style="mso-next-textbox:#_x0000_s1144">
              <w:txbxContent>
                <w:p w:rsidR="00912E32" w:rsidRPr="003E7DE8" w:rsidRDefault="00912E32" w:rsidP="00B17B78">
                  <w:pPr>
                    <w:jc w:val="center"/>
                    <w:rPr>
                      <w:sz w:val="14"/>
                      <w:szCs w:val="14"/>
                    </w:rPr>
                  </w:pPr>
                  <w:r w:rsidRPr="003E7DE8">
                    <w:rPr>
                      <w:sz w:val="14"/>
                      <w:szCs w:val="14"/>
                    </w:rPr>
                    <w:t>Fuente: Elaborado con datos del Anuario Estadístico del estado de Veracruz 2008. INEGI</w:t>
                  </w:r>
                </w:p>
              </w:txbxContent>
            </v:textbox>
          </v:shape>
        </w:pict>
      </w:r>
      <w:r w:rsidR="00B17B78" w:rsidRPr="00772E03">
        <w:rPr>
          <w:rFonts w:asciiTheme="minorHAnsi" w:hAnsiTheme="minorHAnsi" w:cstheme="minorHAnsi"/>
          <w:noProof/>
          <w:sz w:val="24"/>
          <w:szCs w:val="24"/>
          <w:lang w:eastAsia="es-MX"/>
        </w:rPr>
        <w:drawing>
          <wp:inline distT="0" distB="0" distL="0" distR="0">
            <wp:extent cx="3843269" cy="2498531"/>
            <wp:effectExtent l="57150" t="19050" r="81031" b="54169"/>
            <wp:docPr id="7"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832F98" w:rsidRPr="00772E03" w:rsidRDefault="00832F98" w:rsidP="00832F98">
      <w:pPr>
        <w:tabs>
          <w:tab w:val="left" w:pos="7952"/>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Es necesario mencionar que puede haber acreditados que posean los 2 tipos de créditos, por lo que el total de acreditados no es igual al total de créditos. El sector industrial y de servicios Coatzacoalcos no tiene acreditados.</w:t>
      </w:r>
    </w:p>
    <w:p w:rsidR="00B17B78" w:rsidRPr="00772E03" w:rsidRDefault="00B17B78" w:rsidP="009B1733">
      <w:pPr>
        <w:rPr>
          <w:rFonts w:asciiTheme="minorHAnsi" w:hAnsiTheme="minorHAnsi" w:cstheme="minorHAnsi"/>
          <w:b/>
          <w:bCs/>
          <w:sz w:val="24"/>
          <w:szCs w:val="24"/>
        </w:rPr>
      </w:pPr>
    </w:p>
    <w:p w:rsidR="00463DCA" w:rsidRPr="00772E03" w:rsidRDefault="00463DCA" w:rsidP="009B1733">
      <w:pPr>
        <w:rPr>
          <w:rFonts w:asciiTheme="minorHAnsi" w:hAnsiTheme="minorHAnsi" w:cstheme="minorHAnsi"/>
          <w:b/>
          <w:bCs/>
          <w:sz w:val="24"/>
          <w:szCs w:val="24"/>
        </w:rPr>
      </w:pPr>
    </w:p>
    <w:p w:rsidR="007553B6" w:rsidRPr="00772E03" w:rsidRDefault="007553B6" w:rsidP="009B1733">
      <w:pPr>
        <w:rPr>
          <w:rFonts w:asciiTheme="minorHAnsi" w:hAnsiTheme="minorHAnsi" w:cstheme="minorHAnsi"/>
          <w:b/>
          <w:bCs/>
          <w:sz w:val="24"/>
          <w:szCs w:val="24"/>
        </w:rPr>
      </w:pPr>
    </w:p>
    <w:p w:rsidR="007553B6" w:rsidRPr="00772E03" w:rsidRDefault="007553B6" w:rsidP="009B1733">
      <w:pPr>
        <w:rPr>
          <w:rFonts w:asciiTheme="minorHAnsi" w:hAnsiTheme="minorHAnsi" w:cstheme="minorHAnsi"/>
          <w:b/>
          <w:bCs/>
          <w:sz w:val="24"/>
          <w:szCs w:val="24"/>
        </w:rPr>
      </w:pPr>
    </w:p>
    <w:p w:rsidR="00463DCA" w:rsidRPr="00772E03" w:rsidRDefault="00463DCA" w:rsidP="009B1733">
      <w:pPr>
        <w:rPr>
          <w:rFonts w:asciiTheme="minorHAnsi" w:hAnsiTheme="minorHAnsi" w:cstheme="minorHAnsi"/>
          <w:b/>
          <w:bCs/>
          <w:sz w:val="24"/>
          <w:szCs w:val="24"/>
        </w:rPr>
      </w:pPr>
    </w:p>
    <w:p w:rsidR="009B1733" w:rsidRPr="00772E03" w:rsidRDefault="009B1733" w:rsidP="009B1733">
      <w:pPr>
        <w:rPr>
          <w:rFonts w:asciiTheme="minorHAnsi" w:hAnsiTheme="minorHAnsi" w:cstheme="minorHAnsi"/>
          <w:b/>
          <w:bCs/>
          <w:sz w:val="24"/>
          <w:szCs w:val="24"/>
        </w:rPr>
      </w:pPr>
    </w:p>
    <w:p w:rsidR="009B1733" w:rsidRDefault="009B1733" w:rsidP="009B1733">
      <w:pPr>
        <w:rPr>
          <w:rFonts w:asciiTheme="minorHAnsi" w:hAnsiTheme="minorHAnsi" w:cstheme="minorHAnsi"/>
          <w:b/>
          <w:bCs/>
          <w:sz w:val="24"/>
          <w:szCs w:val="24"/>
        </w:rPr>
      </w:pPr>
    </w:p>
    <w:p w:rsidR="007A1AE0" w:rsidRDefault="007A1AE0" w:rsidP="009B1733">
      <w:pPr>
        <w:rPr>
          <w:rFonts w:asciiTheme="minorHAnsi" w:hAnsiTheme="minorHAnsi" w:cstheme="minorHAnsi"/>
          <w:b/>
          <w:bCs/>
          <w:sz w:val="24"/>
          <w:szCs w:val="24"/>
        </w:rPr>
      </w:pPr>
    </w:p>
    <w:p w:rsidR="007A1AE0" w:rsidRPr="00772E03" w:rsidRDefault="007A1AE0" w:rsidP="009B1733">
      <w:pPr>
        <w:rPr>
          <w:rFonts w:asciiTheme="minorHAnsi" w:hAnsiTheme="minorHAnsi" w:cstheme="minorHAnsi"/>
          <w:b/>
          <w:bCs/>
          <w:sz w:val="24"/>
          <w:szCs w:val="24"/>
        </w:rPr>
      </w:pPr>
    </w:p>
    <w:p w:rsidR="00C52FE0" w:rsidRPr="00772E03" w:rsidRDefault="00C52FE0" w:rsidP="009B1733">
      <w:pPr>
        <w:rPr>
          <w:rFonts w:asciiTheme="minorHAnsi" w:hAnsiTheme="minorHAnsi" w:cstheme="minorHAnsi"/>
          <w:b/>
          <w:bCs/>
          <w:sz w:val="24"/>
          <w:szCs w:val="24"/>
        </w:rPr>
      </w:pPr>
    </w:p>
    <w:p w:rsidR="009B1733" w:rsidRPr="00772E03" w:rsidRDefault="009B1733" w:rsidP="009B1733">
      <w:pPr>
        <w:jc w:val="center"/>
        <w:rPr>
          <w:rFonts w:asciiTheme="minorHAnsi" w:hAnsiTheme="minorHAnsi" w:cstheme="minorHAnsi"/>
          <w:b/>
          <w:bCs/>
          <w:sz w:val="24"/>
          <w:szCs w:val="24"/>
        </w:rPr>
      </w:pPr>
    </w:p>
    <w:p w:rsidR="009B1733" w:rsidRPr="00772E03" w:rsidRDefault="009B1733" w:rsidP="009B1733">
      <w:pPr>
        <w:jc w:val="center"/>
        <w:rPr>
          <w:rFonts w:asciiTheme="minorHAnsi" w:hAnsiTheme="minorHAnsi" w:cstheme="minorHAnsi"/>
          <w:b/>
          <w:bCs/>
          <w:sz w:val="24"/>
          <w:szCs w:val="24"/>
        </w:rPr>
      </w:pPr>
    </w:p>
    <w:p w:rsidR="007A1AE0" w:rsidRDefault="007A1AE0" w:rsidP="009B1733">
      <w:pPr>
        <w:jc w:val="center"/>
        <w:rPr>
          <w:rFonts w:asciiTheme="minorHAnsi" w:hAnsiTheme="minorHAnsi" w:cstheme="minorHAnsi"/>
          <w:b/>
          <w:bCs/>
          <w:sz w:val="40"/>
          <w:szCs w:val="40"/>
        </w:rPr>
      </w:pPr>
    </w:p>
    <w:p w:rsidR="007A1AE0" w:rsidRDefault="007A1AE0" w:rsidP="009B1733">
      <w:pPr>
        <w:jc w:val="center"/>
        <w:rPr>
          <w:rFonts w:asciiTheme="minorHAnsi" w:hAnsiTheme="minorHAnsi" w:cstheme="minorHAnsi"/>
          <w:b/>
          <w:bCs/>
          <w:sz w:val="40"/>
          <w:szCs w:val="40"/>
        </w:rPr>
      </w:pPr>
    </w:p>
    <w:p w:rsidR="007A1AE0" w:rsidRDefault="007A1AE0" w:rsidP="009B1733">
      <w:pPr>
        <w:jc w:val="center"/>
        <w:rPr>
          <w:rFonts w:asciiTheme="minorHAnsi" w:hAnsiTheme="minorHAnsi" w:cstheme="minorHAnsi"/>
          <w:b/>
          <w:bCs/>
          <w:sz w:val="40"/>
          <w:szCs w:val="40"/>
        </w:rPr>
      </w:pPr>
    </w:p>
    <w:p w:rsidR="007A1AE0" w:rsidRDefault="007A1AE0" w:rsidP="009B1733">
      <w:pPr>
        <w:jc w:val="center"/>
        <w:rPr>
          <w:rFonts w:asciiTheme="minorHAnsi" w:hAnsiTheme="minorHAnsi" w:cstheme="minorHAnsi"/>
          <w:b/>
          <w:bCs/>
          <w:sz w:val="40"/>
          <w:szCs w:val="40"/>
        </w:rPr>
      </w:pPr>
    </w:p>
    <w:p w:rsidR="007A1AE0" w:rsidRDefault="007A1AE0" w:rsidP="009B1733">
      <w:pPr>
        <w:jc w:val="center"/>
        <w:rPr>
          <w:rFonts w:asciiTheme="minorHAnsi" w:hAnsiTheme="minorHAnsi" w:cstheme="minorHAnsi"/>
          <w:b/>
          <w:bCs/>
          <w:sz w:val="40"/>
          <w:szCs w:val="40"/>
        </w:rPr>
      </w:pPr>
    </w:p>
    <w:p w:rsidR="007A1AE0" w:rsidRDefault="007A1AE0" w:rsidP="009B1733">
      <w:pPr>
        <w:jc w:val="center"/>
        <w:rPr>
          <w:rFonts w:asciiTheme="minorHAnsi" w:hAnsiTheme="minorHAnsi" w:cstheme="minorHAnsi"/>
          <w:b/>
          <w:bCs/>
          <w:sz w:val="40"/>
          <w:szCs w:val="40"/>
        </w:rPr>
      </w:pPr>
    </w:p>
    <w:p w:rsidR="009B1733" w:rsidRPr="00772E03" w:rsidRDefault="00B17B78" w:rsidP="009B1733">
      <w:pPr>
        <w:jc w:val="center"/>
        <w:rPr>
          <w:rFonts w:asciiTheme="minorHAnsi" w:hAnsiTheme="minorHAnsi" w:cstheme="minorHAnsi"/>
          <w:b/>
          <w:bCs/>
          <w:sz w:val="40"/>
          <w:szCs w:val="40"/>
        </w:rPr>
      </w:pPr>
      <w:r w:rsidRPr="00772E03">
        <w:rPr>
          <w:rFonts w:asciiTheme="minorHAnsi" w:hAnsiTheme="minorHAnsi" w:cstheme="minorHAnsi"/>
          <w:b/>
          <w:bCs/>
          <w:sz w:val="40"/>
          <w:szCs w:val="40"/>
        </w:rPr>
        <w:t>La Hacienda Pública Municipal</w:t>
      </w: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9B1733" w:rsidP="009B1733">
      <w:pPr>
        <w:rPr>
          <w:rFonts w:asciiTheme="minorHAnsi" w:hAnsiTheme="minorHAnsi" w:cstheme="minorHAnsi"/>
          <w:b/>
          <w:bCs/>
          <w:sz w:val="40"/>
          <w:szCs w:val="40"/>
        </w:rPr>
      </w:pPr>
    </w:p>
    <w:p w:rsidR="009B1733" w:rsidRPr="00772E03" w:rsidRDefault="00B17B78" w:rsidP="00F55568">
      <w:pPr>
        <w:jc w:val="right"/>
        <w:rPr>
          <w:rFonts w:asciiTheme="minorHAnsi" w:hAnsiTheme="minorHAnsi" w:cstheme="minorHAnsi"/>
          <w:b/>
          <w:bCs/>
          <w:sz w:val="24"/>
          <w:szCs w:val="24"/>
        </w:rPr>
      </w:pPr>
      <w:r w:rsidRPr="00772E03">
        <w:rPr>
          <w:rFonts w:asciiTheme="minorHAnsi" w:hAnsiTheme="minorHAnsi" w:cstheme="minorHAnsi"/>
          <w:b/>
          <w:bCs/>
          <w:sz w:val="40"/>
          <w:szCs w:val="40"/>
        </w:rPr>
        <w:t>Capítulo III</w:t>
      </w:r>
    </w:p>
    <w:p w:rsidR="007A1AE0" w:rsidRDefault="007A1AE0" w:rsidP="009B1733">
      <w:pPr>
        <w:spacing w:line="360" w:lineRule="auto"/>
        <w:jc w:val="both"/>
        <w:rPr>
          <w:rFonts w:asciiTheme="minorHAnsi" w:hAnsiTheme="minorHAnsi" w:cstheme="minorHAnsi"/>
          <w:sz w:val="24"/>
          <w:szCs w:val="24"/>
        </w:rPr>
      </w:pPr>
    </w:p>
    <w:p w:rsidR="007A1AE0" w:rsidRDefault="007A1AE0"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El conocimiento y análisis de la forma en que se obtienen, distribuyen y asignan los recursos públicos municipales es hasta el momento un terreno aún poco explorado por los especialistas en finanzas públicas y en economía municipal, pero constituye un elemento fundamental para entender la problemática que enfrenta la hacienda municipal.</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estudio que se presenta pretende mostrar la estructura y evolución  de los ingresos y gastos municipales, tanto por lo que se refiere a los ingresos propios como aquellos derivados de las participaciones y aportaciones federales.</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Ingresos públicos municipales</w:t>
      </w:r>
    </w:p>
    <w:p w:rsidR="009B1733" w:rsidRPr="00772E03" w:rsidRDefault="009B1733" w:rsidP="009B1733">
      <w:pPr>
        <w:spacing w:line="360" w:lineRule="auto"/>
        <w:jc w:val="both"/>
        <w:rPr>
          <w:rFonts w:asciiTheme="minorHAnsi" w:hAnsiTheme="minorHAnsi" w:cstheme="minorHAnsi"/>
          <w:sz w:val="24"/>
          <w:szCs w:val="24"/>
          <w:lang w:eastAsia="es-MX"/>
        </w:rPr>
      </w:pPr>
      <w:r w:rsidRPr="00772E03">
        <w:rPr>
          <w:rFonts w:asciiTheme="minorHAnsi" w:hAnsiTheme="minorHAnsi" w:cstheme="minorHAnsi"/>
          <w:sz w:val="24"/>
          <w:szCs w:val="24"/>
        </w:rPr>
        <w:t xml:space="preserve">En el ejercicio fiscal 2009, la ley de ingresos municipal que se aprobó, consideró un total de </w:t>
      </w:r>
      <w:r w:rsidRPr="00772E03">
        <w:rPr>
          <w:rFonts w:asciiTheme="minorHAnsi" w:eastAsiaTheme="minorHAnsi" w:hAnsiTheme="minorHAnsi" w:cstheme="minorHAnsi"/>
          <w:bCs/>
          <w:sz w:val="24"/>
          <w:szCs w:val="24"/>
        </w:rPr>
        <w:t>540 millones 204 mil 869 pesos</w:t>
      </w:r>
      <w:r w:rsidRPr="00772E03">
        <w:rPr>
          <w:rFonts w:asciiTheme="minorHAnsi" w:hAnsiTheme="minorHAnsi" w:cstheme="minorHAnsi"/>
          <w:sz w:val="24"/>
          <w:szCs w:val="24"/>
          <w:lang w:eastAsia="es-MX"/>
        </w:rPr>
        <w:t>, que junto con las Aportaciones Federales  (</w:t>
      </w:r>
      <w:r w:rsidRPr="00772E03">
        <w:rPr>
          <w:rFonts w:asciiTheme="minorHAnsi" w:hAnsiTheme="minorHAnsi" w:cstheme="minorHAnsi"/>
          <w:color w:val="000000"/>
          <w:sz w:val="24"/>
          <w:szCs w:val="24"/>
          <w:lang w:eastAsia="es-MX"/>
        </w:rPr>
        <w:t>176 millones 523 mil 311 pesos</w:t>
      </w:r>
      <w:r w:rsidRPr="00772E03">
        <w:rPr>
          <w:rFonts w:asciiTheme="minorHAnsi" w:hAnsiTheme="minorHAnsi" w:cstheme="minorHAnsi"/>
          <w:sz w:val="24"/>
          <w:szCs w:val="24"/>
          <w:lang w:eastAsia="es-MX"/>
        </w:rPr>
        <w:t xml:space="preserve">), sumaron 716 millones 728 mil 180 pesos. </w:t>
      </w:r>
    </w:p>
    <w:p w:rsidR="009B1733" w:rsidRPr="00772E03" w:rsidRDefault="0029009B" w:rsidP="007553B6">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00" type="#_x0000_t202" style="position:absolute;left:0;text-align:left;margin-left:13.95pt;margin-top:222.3pt;width:85.5pt;height:21pt;z-index:251723776" stroked="f">
            <v:textbox style="mso-next-textbox:#_x0000_s1100">
              <w:txbxContent>
                <w:p w:rsidR="00912E32" w:rsidRPr="00BF409E" w:rsidRDefault="00912E32" w:rsidP="009B1733">
                  <w:pPr>
                    <w:rPr>
                      <w:sz w:val="18"/>
                      <w:szCs w:val="18"/>
                    </w:rPr>
                  </w:pPr>
                  <w:r w:rsidRPr="00BF409E">
                    <w:rPr>
                      <w:sz w:val="18"/>
                      <w:szCs w:val="18"/>
                    </w:rPr>
                    <w:t>Fuente: INEGI</w:t>
                  </w:r>
                  <w:r>
                    <w:rPr>
                      <w:sz w:val="18"/>
                      <w:szCs w:val="18"/>
                    </w:rPr>
                    <w:t>.</w:t>
                  </w:r>
                </w:p>
              </w:txbxContent>
            </v:textbox>
          </v:shape>
        </w:pict>
      </w:r>
      <w:r w:rsidR="009B1733" w:rsidRPr="00772E03">
        <w:rPr>
          <w:rFonts w:asciiTheme="minorHAnsi" w:hAnsiTheme="minorHAnsi" w:cstheme="minorHAnsi"/>
          <w:noProof/>
          <w:sz w:val="24"/>
          <w:szCs w:val="24"/>
          <w:lang w:eastAsia="es-MX"/>
        </w:rPr>
        <w:drawing>
          <wp:inline distT="0" distB="0" distL="0" distR="0">
            <wp:extent cx="5109595" cy="3090781"/>
            <wp:effectExtent l="57150" t="19050" r="72005" b="52469"/>
            <wp:docPr id="272"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En cuanto a la composición  de los ingresos municipales, es importante señalar que para el 2009 tan sólo el 16.6% del total (119 millones 099 mil 504 pesos) corresponde a los llamados ingresos propios</w:t>
      </w:r>
      <w:r w:rsidR="00B17B78" w:rsidRPr="00772E03">
        <w:rPr>
          <w:rStyle w:val="Refdenotaalpie"/>
          <w:rFonts w:asciiTheme="minorHAnsi" w:hAnsiTheme="minorHAnsi" w:cstheme="minorHAnsi"/>
        </w:rPr>
        <w:footnoteReference w:id="9"/>
      </w:r>
      <w:r w:rsidRPr="00772E03">
        <w:rPr>
          <w:rFonts w:asciiTheme="minorHAnsi" w:hAnsiTheme="minorHAnsi" w:cstheme="minorHAnsi"/>
          <w:sz w:val="24"/>
          <w:szCs w:val="24"/>
        </w:rPr>
        <w:t xml:space="preserve"> del municipio; es decir, ingresos que obtiene como resultado de la realización de sus funciones  de derecho público (impuestos, derechos, productos, aprovechamientos, contribuciones de mejoras y otros ingresos). En contraste, el 83.4% del total (597 millones 628 mil 677 pesos) corresponden a ingresos provenientes de la federación.</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La participación  de cada uno de estos rubros de ingreso en el total define el nivel de dependencia y autonomía financiera que tiene la hacienda municipal con respecto a la federación y el estado. En este sentido, se puede decir que Coatzacoalcos tienen una alta dependencia financiera pues, como se podrá observar, más del 80% de sus ingresos proviene de la federación; en cambio, solamente menos del 20% se obtienen mediante los mecanismos de recaudación con los que la ley dota a los municipios para constituir la hacienda pública.</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7553B6">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01" type="#_x0000_t202" style="position:absolute;left:0;text-align:left;margin-left:12.45pt;margin-top:221.2pt;width:171pt;height:18pt;z-index:251724800" stroked="f">
            <v:textbox style="mso-next-textbox:#_x0000_s1101">
              <w:txbxContent>
                <w:p w:rsidR="00912E32" w:rsidRPr="00BF409E" w:rsidRDefault="00912E32" w:rsidP="009B1733">
                  <w:pPr>
                    <w:rPr>
                      <w:sz w:val="18"/>
                      <w:szCs w:val="18"/>
                    </w:rPr>
                  </w:pPr>
                  <w:r w:rsidRPr="00BF409E">
                    <w:rPr>
                      <w:sz w:val="18"/>
                      <w:szCs w:val="18"/>
                    </w:rPr>
                    <w:t>Fuent</w:t>
                  </w:r>
                  <w:r>
                    <w:rPr>
                      <w:sz w:val="18"/>
                      <w:szCs w:val="18"/>
                    </w:rPr>
                    <w: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300359" cy="3022151"/>
            <wp:effectExtent l="57150" t="19050" r="71741" b="63949"/>
            <wp:docPr id="273"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9B1733" w:rsidRPr="00772E03" w:rsidRDefault="009B1733" w:rsidP="009B1733">
      <w:pPr>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Esta situación ha venido modificándose a través de los últimos años. En 1990 el nivel de dependencia era inferior al observado en la actualidad, pues el 63.8% del total de ingresos municipales  provenía de la federación. </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Para 1998, año en que se incrementan  las transferencias federales a estados y municipios con la creación de los fondos del llamado Ramo 033,  los ingresos municipales provenientes de la federación pasaron a representar  el 76.8% del total, aumentando la dependencia financiera del municipio y disminuyendo su autonomía financiera; es decir, su capacidad para financiar su gasto con sus propios medios. </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Para 2009, esta dependencia ha aumentado a un 83.4%; sin embargo, es considerada muy alta, particularmente comparada con la existente  hasta antes de 1998, lo cual puede entenderse en el sentido de que una mayor  disponibilidad de recursos federales desincentiva el esfuerzo recaudatorio de las haciendas municipales. </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9B1733" w:rsidP="009B1733">
      <w:pPr>
        <w:jc w:val="center"/>
        <w:rPr>
          <w:rFonts w:asciiTheme="minorHAnsi" w:hAnsiTheme="minorHAnsi" w:cstheme="minorHAnsi"/>
          <w:sz w:val="24"/>
          <w:szCs w:val="24"/>
        </w:rPr>
      </w:pPr>
      <w:r w:rsidRPr="00772E03">
        <w:rPr>
          <w:rFonts w:asciiTheme="minorHAnsi" w:hAnsiTheme="minorHAnsi" w:cstheme="minorHAnsi"/>
          <w:noProof/>
          <w:sz w:val="24"/>
          <w:szCs w:val="24"/>
          <w:lang w:eastAsia="es-MX"/>
        </w:rPr>
        <w:lastRenderedPageBreak/>
        <w:drawing>
          <wp:inline distT="0" distB="0" distL="0" distR="0">
            <wp:extent cx="5291355" cy="3237908"/>
            <wp:effectExtent l="57150" t="19050" r="80745" b="57742"/>
            <wp:docPr id="274"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9B1733" w:rsidRPr="00772E03" w:rsidRDefault="009B1733" w:rsidP="009B1733">
      <w:pPr>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Dentro de la Hacienda Municipal se observa que los dos rubros de ingreso de origen federal son los de mayor peso en los ingresos municipales de Coatzacoalcos: En primer lugar las Participaciones Federales</w:t>
      </w:r>
      <w:r w:rsidRPr="00772E03">
        <w:rPr>
          <w:rStyle w:val="Refdenotaalpie"/>
          <w:rFonts w:asciiTheme="minorHAnsi" w:hAnsiTheme="minorHAnsi" w:cstheme="minorHAnsi"/>
          <w:sz w:val="24"/>
          <w:szCs w:val="24"/>
        </w:rPr>
        <w:footnoteReference w:id="10"/>
      </w:r>
      <w:r w:rsidRPr="00772E03">
        <w:rPr>
          <w:rFonts w:asciiTheme="minorHAnsi" w:hAnsiTheme="minorHAnsi" w:cstheme="minorHAnsi"/>
          <w:sz w:val="24"/>
          <w:szCs w:val="24"/>
        </w:rPr>
        <w:t xml:space="preserve">  que en 2009 representaron el 58.8% del total y, en segundo, las Aportaciones Federales</w:t>
      </w:r>
      <w:r w:rsidRPr="00772E03">
        <w:rPr>
          <w:rStyle w:val="Refdenotaalpie"/>
          <w:rFonts w:asciiTheme="minorHAnsi" w:hAnsiTheme="minorHAnsi" w:cstheme="minorHAnsi"/>
          <w:sz w:val="24"/>
          <w:szCs w:val="24"/>
        </w:rPr>
        <w:footnoteReference w:id="11"/>
      </w:r>
      <w:r w:rsidRPr="00772E03">
        <w:rPr>
          <w:rFonts w:asciiTheme="minorHAnsi" w:hAnsiTheme="minorHAnsi" w:cstheme="minorHAnsi"/>
          <w:sz w:val="24"/>
          <w:szCs w:val="24"/>
        </w:rPr>
        <w:t xml:space="preserve"> con un 24.6%. Le siguen en importancia, aunque con una gran diferencia, los Impuestos Municipales, que contribuyen con el 8.0% del total; los Derechos con el 5.2%; Aprovechamientos con el 1.7%; Productos y Otros Ingresos, 0.8% y las Contribuciones de Mejora, 0.5%.</w:t>
      </w:r>
    </w:p>
    <w:p w:rsidR="009B1733" w:rsidRPr="00772E03" w:rsidRDefault="0029009B" w:rsidP="009B1733">
      <w:pPr>
        <w:jc w:val="center"/>
        <w:rPr>
          <w:rFonts w:asciiTheme="minorHAnsi" w:hAnsiTheme="minorHAnsi" w:cstheme="minorHAnsi"/>
          <w:b/>
          <w:bCs/>
          <w:sz w:val="24"/>
          <w:szCs w:val="24"/>
        </w:rPr>
      </w:pPr>
      <w:r w:rsidRPr="0029009B">
        <w:rPr>
          <w:rFonts w:asciiTheme="minorHAnsi" w:hAnsiTheme="minorHAnsi" w:cstheme="minorHAnsi"/>
          <w:noProof/>
          <w:sz w:val="24"/>
          <w:szCs w:val="24"/>
          <w:lang w:eastAsia="es-MX" w:bidi="hi-IN"/>
        </w:rPr>
        <w:lastRenderedPageBreak/>
        <w:pict>
          <v:shape id="_x0000_s1102" type="#_x0000_t202" style="position:absolute;left:0;text-align:left;margin-left:26.7pt;margin-top:234.95pt;width:153.75pt;height:18pt;z-index:251725824" stroked="f">
            <v:textbox style="mso-next-textbox:#_x0000_s1102">
              <w:txbxContent>
                <w:p w:rsidR="00912E32" w:rsidRPr="00BF409E" w:rsidRDefault="00912E32" w:rsidP="009B1733">
                  <w:pPr>
                    <w:rPr>
                      <w:sz w:val="18"/>
                      <w:szCs w:val="18"/>
                    </w:rPr>
                  </w:pPr>
                  <w:r w:rsidRPr="00BF409E">
                    <w:rPr>
                      <w:sz w:val="18"/>
                      <w:szCs w:val="18"/>
                    </w:rPr>
                    <w:t>Fuente: Elaborado con datos del Inegi</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5134155" cy="3207229"/>
            <wp:effectExtent l="76200" t="19050" r="104595" b="31271"/>
            <wp:docPr id="275"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9B1733" w:rsidRPr="00772E03" w:rsidRDefault="009B1733" w:rsidP="009B1733">
      <w:pPr>
        <w:spacing w:line="360" w:lineRule="auto"/>
        <w:jc w:val="both"/>
        <w:rPr>
          <w:rFonts w:asciiTheme="minorHAnsi" w:hAnsiTheme="minorHAnsi" w:cstheme="minorHAnsi"/>
          <w:sz w:val="24"/>
          <w:szCs w:val="24"/>
          <w:highlight w:val="yellow"/>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Durante la década de estudio (1997-2009) se puede observar que la recaudación fiscal ha tenido fluctuaciones significativas a pesar de que la autonomía financiera se ha reducido y la dependencia se ha incrementado. Durante el periodo de 1997-2009 la recaudación de Impuestos aumentó en términos reales, un 5.6%; los Derechos</w:t>
      </w:r>
      <w:r w:rsidRPr="00772E03">
        <w:rPr>
          <w:rStyle w:val="Refdenotaalpie"/>
          <w:rFonts w:asciiTheme="minorHAnsi" w:hAnsiTheme="minorHAnsi" w:cstheme="minorHAnsi"/>
          <w:sz w:val="24"/>
          <w:szCs w:val="24"/>
        </w:rPr>
        <w:footnoteReference w:id="12"/>
      </w:r>
      <w:r w:rsidRPr="00772E03">
        <w:rPr>
          <w:rFonts w:asciiTheme="minorHAnsi" w:hAnsiTheme="minorHAnsi" w:cstheme="minorHAnsi"/>
          <w:sz w:val="24"/>
          <w:szCs w:val="24"/>
        </w:rPr>
        <w:t xml:space="preserve"> tuvieron una tasa de crecimiento de 17.02%  y  la recaudación en Aprovechamientos</w:t>
      </w:r>
      <w:r w:rsidRPr="00772E03">
        <w:rPr>
          <w:rStyle w:val="Refdenotaalpie"/>
          <w:rFonts w:asciiTheme="minorHAnsi" w:hAnsiTheme="minorHAnsi" w:cstheme="minorHAnsi"/>
          <w:sz w:val="24"/>
          <w:szCs w:val="24"/>
        </w:rPr>
        <w:footnoteReference w:id="13"/>
      </w:r>
      <w:r w:rsidRPr="00772E03">
        <w:rPr>
          <w:rFonts w:asciiTheme="minorHAnsi" w:hAnsiTheme="minorHAnsi" w:cstheme="minorHAnsi"/>
          <w:sz w:val="24"/>
          <w:szCs w:val="24"/>
        </w:rPr>
        <w:t xml:space="preserve"> se redujo a un 4.31%.</w:t>
      </w:r>
    </w:p>
    <w:p w:rsidR="009B1733" w:rsidRPr="00772E03" w:rsidRDefault="009B1733" w:rsidP="009B1733">
      <w:pPr>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03" type="#_x0000_t202" style="position:absolute;left:0;text-align:left;margin-left:28.95pt;margin-top:210.95pt;width:153.75pt;height:18pt;z-index:251726848" stroked="f">
            <v:textbox style="mso-next-textbox:#_x0000_s1103">
              <w:txbxContent>
                <w:p w:rsidR="00912E32" w:rsidRPr="00BF409E" w:rsidRDefault="00912E32" w:rsidP="009B1733">
                  <w:pPr>
                    <w:rPr>
                      <w:sz w:val="18"/>
                      <w:szCs w:val="18"/>
                    </w:rPr>
                  </w:pPr>
                  <w:r w:rsidRPr="00BF409E">
                    <w:rPr>
                      <w:sz w:val="18"/>
                      <w:szCs w:val="18"/>
                    </w:rPr>
                    <w:t>Fuente: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083727" cy="2896678"/>
            <wp:effectExtent l="57150" t="19050" r="78823" b="56072"/>
            <wp:docPr id="276"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9B1733" w:rsidRPr="00772E03" w:rsidRDefault="009B1733" w:rsidP="009B1733">
      <w:pPr>
        <w:jc w:val="both"/>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Como resultado del diferencial en la magnitud de estos incrementos, la estructura de los ingresos sufrió modificaciones a lo largo de estos últimos años, notándose una participación en el caso de los derechos que representaban el 9% de los ingresos totales en 1990 y cayeron al 5.2% en 2007; los productos  contribuían con el 8.6% y se redujeron al 0.8% y los aprovechamientos cayeron del 7.3% al 1.7% en el mismo periodo. Sin embargo, los impuestos se mantuvieron crecientes en 1990 representaban el 9% y el 7.7% para el 2009.</w:t>
      </w:r>
    </w:p>
    <w:p w:rsidR="009B1733" w:rsidRPr="00772E03" w:rsidRDefault="0029009B" w:rsidP="009B1733">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lastRenderedPageBreak/>
        <w:pict>
          <v:shape id="_x0000_s1104" type="#_x0000_t202" style="position:absolute;left:0;text-align:left;margin-left:28.2pt;margin-top:223.6pt;width:153.75pt;height:18pt;z-index:251727872" stroked="f">
            <v:textbox style="mso-next-textbox:#_x0000_s1104">
              <w:txbxContent>
                <w:p w:rsidR="00912E32" w:rsidRPr="00BF409E" w:rsidRDefault="00912E32" w:rsidP="009B1733">
                  <w:pPr>
                    <w:rPr>
                      <w:sz w:val="18"/>
                      <w:szCs w:val="18"/>
                    </w:rPr>
                  </w:pPr>
                  <w:r w:rsidRPr="00BF409E">
                    <w:rPr>
                      <w:sz w:val="18"/>
                      <w:szCs w:val="18"/>
                    </w:rPr>
                    <w:t>Fuente: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089130" cy="3052804"/>
            <wp:effectExtent l="57150" t="19050" r="92470" b="33296"/>
            <wp:docPr id="96"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9B1733" w:rsidRPr="00772E03" w:rsidRDefault="009B1733" w:rsidP="009B1733">
      <w:pPr>
        <w:spacing w:line="360" w:lineRule="auto"/>
        <w:jc w:val="both"/>
        <w:rPr>
          <w:rFonts w:asciiTheme="minorHAnsi" w:hAnsiTheme="minorHAnsi" w:cstheme="minorHAnsi"/>
          <w:b/>
          <w:bCs/>
          <w:sz w:val="24"/>
          <w:szCs w:val="24"/>
        </w:rPr>
      </w:pPr>
    </w:p>
    <w:p w:rsidR="009B1733" w:rsidRPr="00772E03" w:rsidRDefault="009B1733" w:rsidP="009B1733">
      <w:pPr>
        <w:spacing w:line="360" w:lineRule="auto"/>
        <w:jc w:val="both"/>
        <w:rPr>
          <w:rFonts w:asciiTheme="minorHAnsi" w:hAnsiTheme="minorHAnsi" w:cstheme="minorHAnsi"/>
          <w:b/>
          <w:bCs/>
          <w:sz w:val="24"/>
          <w:szCs w:val="24"/>
        </w:rPr>
      </w:pPr>
      <w:r w:rsidRPr="00772E03">
        <w:rPr>
          <w:rFonts w:asciiTheme="minorHAnsi" w:hAnsiTheme="minorHAnsi" w:cstheme="minorHAnsi"/>
          <w:b/>
          <w:bCs/>
          <w:sz w:val="24"/>
          <w:szCs w:val="24"/>
        </w:rPr>
        <w:t>Principales impuestos y derechos</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Como se observa, el ingreso de mayor importancia que recauda directamente en municipio son los impuestos, dentro de los cuales el sobresaliente por el volumen de recaudación  es el impuesto predial, que representa el 59% del total de los ingresos propios del municipio (32 millones 433 mil 426 pesos en 2007); le sigue el impuesto sobre traslación de dominio de bienes inmuebles, que contribuye con el 29% del total (16 millones 222 mil 496 pesos), la contribución adicional sobre ingresos municipales con un 11% (6 millones 081 mil 062 pesos), y sobre juegos permitidos el 1% (506 mil 452 pesos).</w:t>
      </w:r>
    </w:p>
    <w:p w:rsidR="009B1733" w:rsidRPr="00772E03" w:rsidRDefault="0029009B" w:rsidP="009B1733">
      <w:pPr>
        <w:jc w:val="center"/>
        <w:rPr>
          <w:rFonts w:asciiTheme="minorHAnsi" w:hAnsiTheme="minorHAnsi" w:cstheme="minorHAnsi"/>
          <w:sz w:val="24"/>
          <w:szCs w:val="24"/>
        </w:rPr>
      </w:pPr>
      <w:r w:rsidRPr="0029009B">
        <w:rPr>
          <w:rFonts w:asciiTheme="minorHAnsi" w:hAnsiTheme="minorHAnsi" w:cstheme="minorHAnsi"/>
          <w:b/>
          <w:bCs/>
          <w:noProof/>
          <w:sz w:val="24"/>
          <w:szCs w:val="24"/>
          <w:lang w:eastAsia="es-MX" w:bidi="hi-IN"/>
        </w:rPr>
        <w:lastRenderedPageBreak/>
        <w:pict>
          <v:shape id="_x0000_s1105" type="#_x0000_t202" style="position:absolute;left:0;text-align:left;margin-left:224pt;margin-top:205.5pt;width:180.2pt;height:18pt;z-index:251728896" stroked="f">
            <v:textbox style="mso-next-textbox:#_x0000_s1105">
              <w:txbxContent>
                <w:p w:rsidR="00912E32" w:rsidRPr="00BF409E" w:rsidRDefault="00912E32" w:rsidP="009B1733">
                  <w:pPr>
                    <w:jc w:val="right"/>
                    <w:rPr>
                      <w:sz w:val="18"/>
                      <w:szCs w:val="18"/>
                    </w:rPr>
                  </w:pPr>
                  <w:r w:rsidRPr="00BF409E">
                    <w:rPr>
                      <w:sz w:val="18"/>
                      <w:szCs w:val="18"/>
                    </w:rPr>
                    <w:t>Fuen</w:t>
                  </w:r>
                  <w:r>
                    <w:rPr>
                      <w:sz w:val="18"/>
                      <w:szCs w:val="18"/>
                    </w:rPr>
                    <w:t>te: Ley de ingresos municipales 2009</w:t>
                  </w:r>
                </w:p>
              </w:txbxContent>
            </v:textbox>
          </v:shape>
        </w:pict>
      </w:r>
      <w:r w:rsidR="009B1733" w:rsidRPr="00772E03">
        <w:rPr>
          <w:rFonts w:asciiTheme="minorHAnsi" w:hAnsiTheme="minorHAnsi" w:cstheme="minorHAnsi"/>
          <w:noProof/>
          <w:sz w:val="24"/>
          <w:szCs w:val="24"/>
          <w:lang w:eastAsia="es-MX"/>
        </w:rPr>
        <w:drawing>
          <wp:inline distT="0" distB="0" distL="0" distR="0">
            <wp:extent cx="4863297" cy="2836294"/>
            <wp:effectExtent l="57150" t="19050" r="32553" b="2156"/>
            <wp:docPr id="97"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9B1733" w:rsidRPr="00772E03" w:rsidRDefault="009B1733" w:rsidP="009B1733">
      <w:pPr>
        <w:rPr>
          <w:rFonts w:asciiTheme="minorHAnsi" w:hAnsiTheme="minorHAnsi" w:cstheme="minorHAnsi"/>
          <w:b/>
          <w:bCs/>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Otro ingreso importante es el de los derechos, dentro de los cuales destaca de manera particular el Derecho por Registro y Referendo anual de toda Actividad Económica con el 32.8%; en menor medida se encuentra el Derecho por Obras Materiales con el 24.8%; con el 23% el de Servicios Prestados por la Tesorería; y con el 10.1% el Derecho por los Servicios de Registro civil.</w:t>
      </w:r>
    </w:p>
    <w:p w:rsidR="009B1733" w:rsidRPr="00772E03" w:rsidRDefault="0029009B" w:rsidP="009B1733">
      <w:pPr>
        <w:jc w:val="center"/>
        <w:rPr>
          <w:rFonts w:asciiTheme="minorHAnsi" w:hAnsiTheme="minorHAnsi" w:cstheme="minorHAnsi"/>
          <w:b/>
          <w:bCs/>
          <w:sz w:val="24"/>
          <w:szCs w:val="24"/>
        </w:rPr>
      </w:pPr>
      <w:r>
        <w:rPr>
          <w:rFonts w:asciiTheme="minorHAnsi" w:hAnsiTheme="minorHAnsi" w:cstheme="minorHAnsi"/>
          <w:b/>
          <w:bCs/>
          <w:noProof/>
          <w:sz w:val="24"/>
          <w:szCs w:val="24"/>
          <w:lang w:eastAsia="es-MX" w:bidi="hi-IN"/>
        </w:rPr>
        <w:pict>
          <v:shape id="_x0000_s1106" type="#_x0000_t202" style="position:absolute;left:0;text-align:left;margin-left:229.45pt;margin-top:227.25pt;width:174.75pt;height:18pt;z-index:251729920" stroked="f">
            <v:textbox style="mso-next-textbox:#_x0000_s1106">
              <w:txbxContent>
                <w:p w:rsidR="00912E32" w:rsidRPr="00BF409E" w:rsidRDefault="00912E32" w:rsidP="009B1733">
                  <w:pPr>
                    <w:jc w:val="right"/>
                    <w:rPr>
                      <w:sz w:val="18"/>
                      <w:szCs w:val="18"/>
                    </w:rPr>
                  </w:pPr>
                  <w:r w:rsidRPr="00BF409E">
                    <w:rPr>
                      <w:sz w:val="18"/>
                      <w:szCs w:val="18"/>
                    </w:rPr>
                    <w:t>Fuent</w:t>
                  </w:r>
                  <w:r>
                    <w:rPr>
                      <w:sz w:val="18"/>
                      <w:szCs w:val="18"/>
                    </w:rPr>
                    <w:t>e: Ley de ingresos municipales 2009. 2002009</w:t>
                  </w:r>
                </w:p>
              </w:txbxContent>
            </v:textbox>
          </v:shape>
        </w:pict>
      </w:r>
      <w:r w:rsidR="009B1733" w:rsidRPr="00772E03">
        <w:rPr>
          <w:rFonts w:asciiTheme="minorHAnsi" w:hAnsiTheme="minorHAnsi" w:cstheme="minorHAnsi"/>
          <w:b/>
          <w:bCs/>
          <w:noProof/>
          <w:sz w:val="24"/>
          <w:szCs w:val="24"/>
          <w:lang w:eastAsia="es-MX"/>
        </w:rPr>
        <w:drawing>
          <wp:inline distT="0" distB="0" distL="0" distR="0">
            <wp:extent cx="4888122" cy="3095086"/>
            <wp:effectExtent l="57150" t="19050" r="83928" b="48164"/>
            <wp:docPr id="98"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9B1733" w:rsidRPr="00772E03" w:rsidRDefault="009B1733" w:rsidP="009B1733">
      <w:pPr>
        <w:spacing w:line="360" w:lineRule="auto"/>
        <w:rPr>
          <w:rFonts w:asciiTheme="minorHAnsi" w:hAnsiTheme="minorHAnsi" w:cstheme="minorHAnsi"/>
          <w:b/>
          <w:bCs/>
          <w:sz w:val="24"/>
          <w:szCs w:val="24"/>
        </w:rPr>
      </w:pPr>
      <w:r w:rsidRPr="00772E03">
        <w:rPr>
          <w:rFonts w:asciiTheme="minorHAnsi" w:hAnsiTheme="minorHAnsi" w:cstheme="minorHAnsi"/>
          <w:b/>
          <w:bCs/>
          <w:sz w:val="24"/>
          <w:szCs w:val="24"/>
        </w:rPr>
        <w:lastRenderedPageBreak/>
        <w:t>El gasto público municipal</w:t>
      </w:r>
    </w:p>
    <w:p w:rsidR="009B1733" w:rsidRPr="00772E03" w:rsidRDefault="009B1733" w:rsidP="009B1733">
      <w:pPr>
        <w:tabs>
          <w:tab w:val="left" w:pos="4536"/>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El egreso constituye otro de los componentes de la hacienda pública municipal, aquí podemos observar que el comportamiento del gasto público en el periodo 1990-2005, presenta  un crecimiento muy importante de 300%, en términos reales.</w:t>
      </w:r>
    </w:p>
    <w:p w:rsidR="009B1733" w:rsidRPr="00772E03" w:rsidRDefault="009B1733" w:rsidP="009B1733">
      <w:pPr>
        <w:tabs>
          <w:tab w:val="left" w:pos="4536"/>
        </w:tabs>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07" type="#_x0000_t202" style="position:absolute;left:0;text-align:left;margin-left:23.8pt;margin-top:210.55pt;width:86.25pt;height:19.5pt;z-index:251730944" stroked="f">
            <v:textbox style="mso-next-textbox:#_x0000_s1107">
              <w:txbxContent>
                <w:p w:rsidR="00912E32" w:rsidRPr="001D6670" w:rsidRDefault="00912E32" w:rsidP="009B1733">
                  <w:pPr>
                    <w:rPr>
                      <w:sz w:val="18"/>
                      <w:szCs w:val="18"/>
                    </w:rPr>
                  </w:pPr>
                  <w:r w:rsidRPr="001D6670">
                    <w:rPr>
                      <w:sz w:val="18"/>
                      <w:szCs w:val="18"/>
                    </w:rPr>
                    <w:t>Fuente: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204963" cy="2892928"/>
            <wp:effectExtent l="57150" t="19050" r="71887" b="59822"/>
            <wp:docPr id="99"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9B1733" w:rsidRPr="00772E03" w:rsidRDefault="009B1733" w:rsidP="009B1733">
      <w:pPr>
        <w:tabs>
          <w:tab w:val="left" w:pos="4536"/>
        </w:tabs>
        <w:spacing w:line="360" w:lineRule="auto"/>
        <w:jc w:val="both"/>
        <w:rPr>
          <w:rFonts w:asciiTheme="minorHAnsi" w:hAnsiTheme="minorHAnsi" w:cstheme="minorHAnsi"/>
          <w:sz w:val="24"/>
          <w:szCs w:val="24"/>
        </w:rPr>
      </w:pPr>
    </w:p>
    <w:p w:rsidR="009B1733" w:rsidRPr="00772E03" w:rsidRDefault="009B1733" w:rsidP="009B1733">
      <w:pPr>
        <w:tabs>
          <w:tab w:val="left" w:pos="4536"/>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1990 se ejerció un presupuesto de egresos de 31 millones 036 mil 291 pesos, cifra que se fue incrementando a lo largo de todo el periodo de análisis, con algunas reducciones como en el periodo 2004-2005 que de 677 millones 167 mil 416 pesos y se redujo a 637 millones 199 mil 039 pesos en el año 2005.</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Al analizar la composición del gasto público se observa que éste descansa, prácticamente, sobre tres rubros, en particular: el de Obras públicas y Acciones sociales</w:t>
      </w:r>
      <w:r w:rsidRPr="00772E03">
        <w:rPr>
          <w:rStyle w:val="Refdenotaalpie"/>
          <w:rFonts w:asciiTheme="minorHAnsi" w:hAnsiTheme="minorHAnsi" w:cstheme="minorHAnsi"/>
          <w:sz w:val="24"/>
          <w:szCs w:val="24"/>
        </w:rPr>
        <w:footnoteReference w:id="14"/>
      </w:r>
      <w:r w:rsidRPr="00772E03">
        <w:rPr>
          <w:rFonts w:asciiTheme="minorHAnsi" w:hAnsiTheme="minorHAnsi" w:cstheme="minorHAnsi"/>
          <w:sz w:val="24"/>
          <w:szCs w:val="24"/>
        </w:rPr>
        <w:t xml:space="preserve">, que participa </w:t>
      </w:r>
      <w:r w:rsidRPr="00772E03">
        <w:rPr>
          <w:rFonts w:asciiTheme="minorHAnsi" w:hAnsiTheme="minorHAnsi" w:cstheme="minorHAnsi"/>
          <w:sz w:val="24"/>
          <w:szCs w:val="24"/>
        </w:rPr>
        <w:lastRenderedPageBreak/>
        <w:t>con el 39.8%; el de Servicios personales</w:t>
      </w:r>
      <w:r w:rsidRPr="00772E03">
        <w:rPr>
          <w:rStyle w:val="Refdenotaalpie"/>
          <w:rFonts w:asciiTheme="minorHAnsi" w:hAnsiTheme="minorHAnsi" w:cstheme="minorHAnsi"/>
          <w:sz w:val="24"/>
          <w:szCs w:val="24"/>
        </w:rPr>
        <w:footnoteReference w:id="15"/>
      </w:r>
      <w:r w:rsidRPr="00772E03">
        <w:rPr>
          <w:rFonts w:asciiTheme="minorHAnsi" w:hAnsiTheme="minorHAnsi" w:cstheme="minorHAnsi"/>
          <w:sz w:val="24"/>
          <w:szCs w:val="24"/>
        </w:rPr>
        <w:t xml:space="preserve"> con el 29.7%, y el de Servicios generales</w:t>
      </w:r>
      <w:r w:rsidRPr="00772E03">
        <w:rPr>
          <w:rStyle w:val="Refdenotaalpie"/>
          <w:rFonts w:asciiTheme="minorHAnsi" w:hAnsiTheme="minorHAnsi" w:cstheme="minorHAnsi"/>
          <w:sz w:val="24"/>
          <w:szCs w:val="24"/>
        </w:rPr>
        <w:footnoteReference w:id="16"/>
      </w:r>
      <w:r w:rsidRPr="00772E03">
        <w:rPr>
          <w:rFonts w:asciiTheme="minorHAnsi" w:hAnsiTheme="minorHAnsi" w:cstheme="minorHAnsi"/>
          <w:sz w:val="24"/>
          <w:szCs w:val="24"/>
        </w:rPr>
        <w:t xml:space="preserve"> con el 16.7%. Estos rubros concentran el 86% del total de los egresos. De menor participación es el gasto en Subsidios, transferencias y ayudas con el 4.9%, los Materiales y suministros</w:t>
      </w:r>
      <w:r w:rsidRPr="00772E03">
        <w:rPr>
          <w:rStyle w:val="Refdenotaalpie"/>
          <w:rFonts w:asciiTheme="minorHAnsi" w:hAnsiTheme="minorHAnsi" w:cstheme="minorHAnsi"/>
          <w:sz w:val="24"/>
          <w:szCs w:val="24"/>
        </w:rPr>
        <w:footnoteReference w:id="17"/>
      </w:r>
      <w:r w:rsidRPr="00772E03">
        <w:rPr>
          <w:rFonts w:asciiTheme="minorHAnsi" w:hAnsiTheme="minorHAnsi" w:cstheme="minorHAnsi"/>
          <w:sz w:val="24"/>
          <w:szCs w:val="24"/>
        </w:rPr>
        <w:t>, que contribuye con el 4.4% y la Adquisiciones de bienes muebles e inmuebles con el 2.3%.</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08" type="#_x0000_t202" style="position:absolute;left:0;text-align:left;margin-left:323.35pt;margin-top:213.25pt;width:86.25pt;height:19.5pt;z-index:251731968" stroked="f">
            <v:textbox style="mso-next-textbox:#_x0000_s1108">
              <w:txbxContent>
                <w:p w:rsidR="00912E32" w:rsidRPr="001D6670" w:rsidRDefault="00912E32" w:rsidP="009B1733">
                  <w:pPr>
                    <w:jc w:val="right"/>
                    <w:rPr>
                      <w:sz w:val="18"/>
                      <w:szCs w:val="18"/>
                    </w:rPr>
                  </w:pPr>
                  <w:r w:rsidRPr="001D6670">
                    <w:rPr>
                      <w:sz w:val="18"/>
                      <w:szCs w:val="18"/>
                    </w:rPr>
                    <w:t>Fuente: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005765" cy="2953576"/>
            <wp:effectExtent l="57150" t="19050" r="80585" b="56324"/>
            <wp:docPr id="100"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9B1733" w:rsidRPr="00772E03" w:rsidRDefault="009B1733" w:rsidP="009B1733">
      <w:pPr>
        <w:rPr>
          <w:rFonts w:asciiTheme="minorHAnsi" w:hAnsiTheme="minorHAnsi" w:cstheme="minorHAnsi"/>
          <w:sz w:val="24"/>
          <w:szCs w:val="24"/>
        </w:rPr>
      </w:pP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Llama la atención  la forma en que se modificó esta estructura del gasto con respecto al año 1990, cuando la Obra pública y acciones sociales representaban el 64% del gasto total, los servicios personales el 29.3% y Subsidios, transferencias y ayudas el  6.8%.</w:t>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Al integrar estos distintos rubros en la clasificación económica para evaluar la magnitud y el impacto del gasto según su destino, se observa que el 55.7%  corresponde a Gasto corriente</w:t>
      </w:r>
      <w:r w:rsidRPr="00772E03">
        <w:rPr>
          <w:rStyle w:val="Refdenotaalpie"/>
          <w:rFonts w:asciiTheme="minorHAnsi" w:hAnsiTheme="minorHAnsi" w:cstheme="minorHAnsi"/>
          <w:sz w:val="24"/>
          <w:szCs w:val="24"/>
        </w:rPr>
        <w:footnoteReference w:id="18"/>
      </w:r>
      <w:r w:rsidRPr="00772E03">
        <w:rPr>
          <w:rFonts w:asciiTheme="minorHAnsi" w:hAnsiTheme="minorHAnsi" w:cstheme="minorHAnsi"/>
          <w:sz w:val="24"/>
          <w:szCs w:val="24"/>
        </w:rPr>
        <w:t xml:space="preserve">  en 2005; esto es,  a erogaciones en bienes y servicios destinados a la realización de actividades administrativas y de operación  requerida para el funcionamiento normal de las dependencias y entidades; en cambio, el Gasto de Capital</w:t>
      </w:r>
      <w:r w:rsidRPr="00772E03">
        <w:rPr>
          <w:rStyle w:val="Refdenotaalpie"/>
          <w:rFonts w:asciiTheme="minorHAnsi" w:hAnsiTheme="minorHAnsi" w:cstheme="minorHAnsi"/>
          <w:sz w:val="24"/>
          <w:szCs w:val="24"/>
        </w:rPr>
        <w:footnoteReference w:id="19"/>
      </w:r>
      <w:r w:rsidRPr="00772E03">
        <w:rPr>
          <w:rFonts w:asciiTheme="minorHAnsi" w:hAnsiTheme="minorHAnsi" w:cstheme="minorHAnsi"/>
          <w:sz w:val="24"/>
          <w:szCs w:val="24"/>
        </w:rPr>
        <w:t>, que corresponden a las erogaciones en bienes y construcciones que incrementan los activos fijos del gobierno, alcanza una participación del 42.1%. Este tipo de gasto corresponde a las erogaciones en bienes y servicios, obras, programas y proyectos de inversión que contribuyen a incrementar los activos fijos, necesarios para la prestación de los bienes y servicios públicos del municipio.</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3F035F">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09" type="#_x0000_t202" style="position:absolute;left:0;text-align:left;margin-left:26.6pt;margin-top:217.85pt;width:386.7pt;height:19.5pt;z-index:251732992" stroked="f">
            <v:textbox style="mso-next-textbox:#_x0000_s1109">
              <w:txbxContent>
                <w:p w:rsidR="00912E32" w:rsidRPr="001D6670" w:rsidRDefault="00912E32" w:rsidP="009B1733">
                  <w:pPr>
                    <w:jc w:val="center"/>
                    <w:rPr>
                      <w:sz w:val="18"/>
                      <w:szCs w:val="18"/>
                    </w:rPr>
                  </w:pPr>
                  <w:r w:rsidRPr="001D6670">
                    <w:rPr>
                      <w:sz w:val="18"/>
                      <w:szCs w:val="18"/>
                    </w:rPr>
                    <w:t>Fuente: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253547" cy="3001602"/>
            <wp:effectExtent l="57150" t="19050" r="80453" b="65448"/>
            <wp:docPr id="101"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9B1733" w:rsidRPr="00772E03" w:rsidRDefault="009B1733" w:rsidP="009B1733">
      <w:pPr>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lastRenderedPageBreak/>
        <w:t>Evidentemente, es importante que se mantenga un adecuado equilibrio  entre estos dos tipos de gasto, dando prioridad al gasto de capital pues es el que contribuye en mayor medida al desarrollo municipal. En Coatzacoalcos, en los últimos años se ha presentando una situación  donde el Gasto Corriente-el cual en 1998 alcanzó una participación del 92.7% del total- se redujo al 55.7 en 2005; mientras que el Gasto de Capital pasó de 6.8% al 42.1% en el mismo periodo. El gasto corriente tuvo un incremento del 464% de 1990 a 2005; cifra superior al crecimiento  que tuvo el gasto de capital, que fue de 197%.</w:t>
      </w:r>
    </w:p>
    <w:p w:rsidR="009B1733" w:rsidRPr="00772E03" w:rsidRDefault="009B1733" w:rsidP="009B1733">
      <w:pPr>
        <w:spacing w:line="360" w:lineRule="auto"/>
        <w:jc w:val="both"/>
        <w:rPr>
          <w:rFonts w:asciiTheme="minorHAnsi" w:hAnsiTheme="minorHAnsi" w:cstheme="minorHAnsi"/>
          <w:sz w:val="24"/>
          <w:szCs w:val="24"/>
        </w:rPr>
      </w:pPr>
    </w:p>
    <w:p w:rsidR="009B1733" w:rsidRPr="00772E03" w:rsidRDefault="0029009B" w:rsidP="009B1733">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12" type="#_x0000_t202" style="position:absolute;left:0;text-align:left;margin-left:23.2pt;margin-top:227.45pt;width:171.75pt;height:16.35pt;z-index:251736064" stroked="f">
            <v:textbox style="mso-next-textbox:#_x0000_s1112">
              <w:txbxContent>
                <w:p w:rsidR="00912E32" w:rsidRPr="00047135" w:rsidRDefault="00912E32" w:rsidP="009B1733">
                  <w:pPr>
                    <w:rPr>
                      <w:sz w:val="18"/>
                      <w:szCs w:val="18"/>
                    </w:rPr>
                  </w:pPr>
                  <w:r>
                    <w:rPr>
                      <w:sz w:val="18"/>
                      <w:szCs w:val="18"/>
                    </w:rPr>
                    <w:t>Fuente: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312653" cy="3108154"/>
            <wp:effectExtent l="57150" t="19050" r="78497" b="54146"/>
            <wp:docPr id="278"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9B1733" w:rsidRPr="00772E03" w:rsidRDefault="009B1733" w:rsidP="009B1733">
      <w:pPr>
        <w:tabs>
          <w:tab w:val="left" w:pos="4536"/>
        </w:tabs>
        <w:spacing w:line="360" w:lineRule="auto"/>
        <w:jc w:val="both"/>
        <w:rPr>
          <w:rFonts w:asciiTheme="minorHAnsi" w:hAnsiTheme="minorHAnsi" w:cstheme="minorHAnsi"/>
          <w:sz w:val="24"/>
          <w:szCs w:val="24"/>
        </w:rPr>
      </w:pPr>
    </w:p>
    <w:p w:rsidR="009B1733" w:rsidRPr="00772E03" w:rsidRDefault="009B1733" w:rsidP="009B1733">
      <w:pPr>
        <w:tabs>
          <w:tab w:val="left" w:pos="4536"/>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 xml:space="preserve">El gasto corriente presenta una tasa de crecimiento mayor a la observada en el gasto de capital, debido a que  presenta un aumento considerable e importante en el gasto a obras públicas y acciones sociales en un 1120% entre 1990 y 2004. </w:t>
      </w:r>
    </w:p>
    <w:p w:rsidR="009B1733" w:rsidRPr="00772E03" w:rsidRDefault="0029009B" w:rsidP="003F035F">
      <w:pPr>
        <w:jc w:val="center"/>
        <w:rPr>
          <w:rFonts w:asciiTheme="minorHAnsi" w:hAnsiTheme="minorHAnsi" w:cstheme="minorHAnsi"/>
          <w:sz w:val="24"/>
          <w:szCs w:val="24"/>
        </w:rPr>
      </w:pPr>
      <w:r>
        <w:rPr>
          <w:rFonts w:asciiTheme="minorHAnsi" w:hAnsiTheme="minorHAnsi" w:cstheme="minorHAnsi"/>
          <w:noProof/>
          <w:sz w:val="24"/>
          <w:szCs w:val="24"/>
          <w:lang w:eastAsia="es-MX" w:bidi="hi-IN"/>
        </w:rPr>
        <w:lastRenderedPageBreak/>
        <w:pict>
          <v:shape id="_x0000_s1111" type="#_x0000_t202" style="position:absolute;left:0;text-align:left;margin-left:20.7pt;margin-top:221.25pt;width:171.75pt;height:17.65pt;z-index:251735040" stroked="f">
            <v:textbox style="mso-next-textbox:#_x0000_s1111">
              <w:txbxContent>
                <w:p w:rsidR="00912E32" w:rsidRPr="00047135" w:rsidRDefault="00912E32" w:rsidP="009B1733">
                  <w:pPr>
                    <w:rPr>
                      <w:sz w:val="18"/>
                      <w:szCs w:val="18"/>
                    </w:rPr>
                  </w:pPr>
                  <w:r>
                    <w:rPr>
                      <w:sz w:val="18"/>
                      <w:szCs w:val="18"/>
                    </w:rPr>
                    <w:t>Fuente: Elaborado con datos del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340871" cy="3019611"/>
            <wp:effectExtent l="57150" t="19050" r="69329" b="66489"/>
            <wp:docPr id="103"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9B1733" w:rsidRPr="00772E03" w:rsidRDefault="009B1733" w:rsidP="009B1733">
      <w:pPr>
        <w:rPr>
          <w:rFonts w:asciiTheme="minorHAnsi" w:hAnsiTheme="minorHAnsi" w:cstheme="minorHAnsi"/>
          <w:sz w:val="24"/>
          <w:szCs w:val="24"/>
        </w:rPr>
      </w:pPr>
    </w:p>
    <w:p w:rsidR="009B1733" w:rsidRPr="00772E03" w:rsidRDefault="009B1733" w:rsidP="009B1733">
      <w:pPr>
        <w:tabs>
          <w:tab w:val="left" w:pos="4536"/>
        </w:tabs>
        <w:spacing w:line="360" w:lineRule="auto"/>
        <w:jc w:val="both"/>
        <w:rPr>
          <w:rFonts w:asciiTheme="minorHAnsi" w:hAnsiTheme="minorHAnsi" w:cstheme="minorHAnsi"/>
          <w:sz w:val="24"/>
          <w:szCs w:val="24"/>
        </w:rPr>
      </w:pPr>
      <w:r w:rsidRPr="00772E03">
        <w:rPr>
          <w:rFonts w:asciiTheme="minorHAnsi" w:hAnsiTheme="minorHAnsi" w:cstheme="minorHAnsi"/>
          <w:sz w:val="24"/>
          <w:szCs w:val="24"/>
        </w:rPr>
        <w:t>En el Gasto Corriente, los servicios personales tuvieron el mayor incremento durante el periodo 1990-2002, ya que su</w:t>
      </w:r>
      <w:r w:rsidR="00743709" w:rsidRPr="00772E03">
        <w:rPr>
          <w:rFonts w:asciiTheme="minorHAnsi" w:hAnsiTheme="minorHAnsi" w:cstheme="minorHAnsi"/>
          <w:sz w:val="24"/>
          <w:szCs w:val="24"/>
        </w:rPr>
        <w:t xml:space="preserve"> tasa de crecimiento fue de </w:t>
      </w:r>
      <w:r w:rsidR="002A0B6F" w:rsidRPr="00772E03">
        <w:rPr>
          <w:rFonts w:asciiTheme="minorHAnsi" w:hAnsiTheme="minorHAnsi" w:cstheme="minorHAnsi"/>
          <w:sz w:val="24"/>
          <w:szCs w:val="24"/>
        </w:rPr>
        <w:t>302%</w:t>
      </w:r>
      <w:r w:rsidRPr="00772E03">
        <w:rPr>
          <w:rFonts w:asciiTheme="minorHAnsi" w:hAnsiTheme="minorHAnsi" w:cstheme="minorHAnsi"/>
          <w:sz w:val="24"/>
          <w:szCs w:val="24"/>
        </w:rPr>
        <w:t xml:space="preserve">, en términos reales. </w:t>
      </w:r>
    </w:p>
    <w:p w:rsidR="009B1733" w:rsidRPr="00772E03" w:rsidRDefault="009B1733" w:rsidP="009B1733">
      <w:pPr>
        <w:rPr>
          <w:rFonts w:asciiTheme="minorHAnsi" w:hAnsiTheme="minorHAnsi" w:cstheme="minorHAnsi"/>
          <w:sz w:val="24"/>
          <w:szCs w:val="24"/>
        </w:rPr>
      </w:pPr>
    </w:p>
    <w:p w:rsidR="009B1733" w:rsidRPr="00772E03" w:rsidRDefault="0029009B" w:rsidP="003F035F">
      <w:pPr>
        <w:jc w:val="center"/>
        <w:rPr>
          <w:rFonts w:asciiTheme="minorHAnsi" w:hAnsiTheme="minorHAnsi" w:cstheme="minorHAnsi"/>
          <w:sz w:val="24"/>
          <w:szCs w:val="24"/>
        </w:rPr>
      </w:pPr>
      <w:r>
        <w:rPr>
          <w:rFonts w:asciiTheme="minorHAnsi" w:hAnsiTheme="minorHAnsi" w:cstheme="minorHAnsi"/>
          <w:noProof/>
          <w:sz w:val="24"/>
          <w:szCs w:val="24"/>
          <w:lang w:eastAsia="es-MX" w:bidi="hi-IN"/>
        </w:rPr>
        <w:pict>
          <v:shape id="_x0000_s1110" type="#_x0000_t202" style="position:absolute;left:0;text-align:left;margin-left:81.35pt;margin-top:219.85pt;width:340.05pt;height:15.3pt;z-index:251734016" stroked="f">
            <v:textbox style="mso-next-textbox:#_x0000_s1110">
              <w:txbxContent>
                <w:p w:rsidR="00912E32" w:rsidRPr="00D812A5" w:rsidRDefault="00912E32" w:rsidP="009B1733">
                  <w:pPr>
                    <w:jc w:val="center"/>
                    <w:rPr>
                      <w:sz w:val="16"/>
                      <w:szCs w:val="16"/>
                    </w:rPr>
                  </w:pPr>
                  <w:r w:rsidRPr="00D812A5">
                    <w:rPr>
                      <w:sz w:val="16"/>
                      <w:szCs w:val="16"/>
                    </w:rPr>
                    <w:t>Fuente: Inegi</w:t>
                  </w:r>
                </w:p>
              </w:txbxContent>
            </v:textbox>
          </v:shape>
        </w:pict>
      </w:r>
      <w:r w:rsidR="009B1733" w:rsidRPr="00772E03">
        <w:rPr>
          <w:rFonts w:asciiTheme="minorHAnsi" w:hAnsiTheme="minorHAnsi" w:cstheme="minorHAnsi"/>
          <w:noProof/>
          <w:sz w:val="24"/>
          <w:szCs w:val="24"/>
          <w:lang w:eastAsia="es-MX"/>
        </w:rPr>
        <w:drawing>
          <wp:inline distT="0" distB="0" distL="0" distR="0">
            <wp:extent cx="5305960" cy="3000967"/>
            <wp:effectExtent l="57150" t="19050" r="85190" b="66083"/>
            <wp:docPr id="104"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9B1733" w:rsidRPr="00772E03" w:rsidRDefault="009B1733" w:rsidP="009B1733">
      <w:pPr>
        <w:tabs>
          <w:tab w:val="left" w:pos="2828"/>
        </w:tabs>
        <w:rPr>
          <w:rFonts w:asciiTheme="minorHAnsi" w:hAnsiTheme="minorHAnsi" w:cstheme="minorHAnsi"/>
          <w:sz w:val="24"/>
          <w:szCs w:val="24"/>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p>
    <w:p w:rsidR="00806D5C" w:rsidRPr="00772E03" w:rsidRDefault="00806D5C" w:rsidP="00806D5C">
      <w:pPr>
        <w:jc w:val="center"/>
        <w:rPr>
          <w:rFonts w:asciiTheme="minorHAnsi" w:hAnsiTheme="minorHAnsi" w:cstheme="minorHAnsi"/>
          <w:b/>
          <w:sz w:val="40"/>
          <w:szCs w:val="40"/>
        </w:rPr>
      </w:pPr>
      <w:r w:rsidRPr="00772E03">
        <w:rPr>
          <w:rFonts w:asciiTheme="minorHAnsi" w:hAnsiTheme="minorHAnsi" w:cstheme="minorHAnsi"/>
          <w:b/>
          <w:sz w:val="40"/>
          <w:szCs w:val="40"/>
        </w:rPr>
        <w:t>Anexo estadístico</w:t>
      </w:r>
    </w:p>
    <w:p w:rsidR="003E3A9E" w:rsidRPr="00772E03" w:rsidRDefault="003E3A9E"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Default="00784CEA" w:rsidP="00F0261F">
      <w:pPr>
        <w:rPr>
          <w:rFonts w:asciiTheme="minorHAnsi" w:hAnsiTheme="minorHAnsi" w:cstheme="minorHAnsi"/>
          <w:sz w:val="24"/>
          <w:szCs w:val="24"/>
        </w:rPr>
      </w:pPr>
    </w:p>
    <w:p w:rsidR="007A1AE0" w:rsidRDefault="007A1AE0" w:rsidP="00F0261F">
      <w:pPr>
        <w:rPr>
          <w:rFonts w:asciiTheme="minorHAnsi" w:hAnsiTheme="minorHAnsi" w:cstheme="minorHAnsi"/>
          <w:sz w:val="24"/>
          <w:szCs w:val="24"/>
        </w:rPr>
      </w:pPr>
    </w:p>
    <w:p w:rsidR="007A1AE0" w:rsidRPr="00772E03" w:rsidRDefault="007A1AE0"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p w:rsidR="00784CEA" w:rsidRPr="00772E03" w:rsidRDefault="00784CEA" w:rsidP="00F0261F">
      <w:pPr>
        <w:rPr>
          <w:rFonts w:asciiTheme="minorHAnsi" w:hAnsiTheme="minorHAnsi" w:cstheme="minorHAnsi"/>
          <w:sz w:val="24"/>
          <w:szCs w:val="24"/>
        </w:rPr>
      </w:pPr>
    </w:p>
    <w:tbl>
      <w:tblPr>
        <w:tblStyle w:val="TablaWeb2"/>
        <w:tblW w:w="5100" w:type="dxa"/>
        <w:jc w:val="center"/>
        <w:tblLook w:val="0000"/>
      </w:tblPr>
      <w:tblGrid>
        <w:gridCol w:w="2367"/>
        <w:gridCol w:w="1374"/>
        <w:gridCol w:w="1359"/>
      </w:tblGrid>
      <w:tr w:rsidR="00784CEA" w:rsidRPr="00772E03" w:rsidTr="005A6972">
        <w:trPr>
          <w:jc w:val="center"/>
        </w:trPr>
        <w:tc>
          <w:tcPr>
            <w:tcW w:w="5020" w:type="dxa"/>
            <w:gridSpan w:val="3"/>
          </w:tcPr>
          <w:p w:rsidR="00784CEA" w:rsidRPr="00772E03" w:rsidRDefault="00784CEA" w:rsidP="00784CEA">
            <w:pPr>
              <w:spacing w:after="0" w:line="240" w:lineRule="auto"/>
              <w:jc w:val="center"/>
              <w:rPr>
                <w:rFonts w:asciiTheme="minorHAnsi" w:hAnsiTheme="minorHAnsi" w:cstheme="minorHAnsi"/>
                <w:b/>
                <w:bCs/>
                <w:sz w:val="12"/>
                <w:szCs w:val="12"/>
                <w:lang w:val="es-ES" w:eastAsia="ja-JP"/>
              </w:rPr>
            </w:pPr>
            <w:r w:rsidRPr="00772E03">
              <w:rPr>
                <w:rFonts w:asciiTheme="minorHAnsi" w:hAnsiTheme="minorHAnsi" w:cstheme="minorHAnsi"/>
                <w:b/>
                <w:bCs/>
                <w:sz w:val="12"/>
                <w:szCs w:val="12"/>
                <w:lang w:val="es-ES" w:eastAsia="ja-JP"/>
              </w:rPr>
              <w:lastRenderedPageBreak/>
              <w:t>ESTADO DE VERACRUZ. HABITANTES EN LOS MUNICIPIOS CON MAYOR POBLACIÓN. 2005</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Veracruz</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512,310</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7.2</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Xalapa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413,136</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5.8</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Coatzacoalcos</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280,363</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3.9</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Córdoba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186,623</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2.6</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Poza Rica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181,438</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2.6</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Papantla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152,863</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Minatitlán</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151,983</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San Andrés Tuxtla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148,447</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Boca de  Río</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141,906</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2.0</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Tuxpan</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134,394</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1.9</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Orizaba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117,289</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1.6</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Cosoleacaque</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104,970</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1.5</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Temapache</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100,790</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1.4</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Tantoyuca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97,949</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1.4</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Martínez de la Torre</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97,768</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1.4</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Pánuco</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91,006</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1.3</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Tierra Blanca</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86,075</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1.2</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proofErr w:type="spellStart"/>
            <w:r w:rsidRPr="00772E03">
              <w:rPr>
                <w:rFonts w:asciiTheme="minorHAnsi" w:hAnsiTheme="minorHAnsi" w:cstheme="minorHAnsi"/>
                <w:sz w:val="12"/>
                <w:szCs w:val="12"/>
                <w:lang w:val="es-ES" w:eastAsia="ja-JP"/>
              </w:rPr>
              <w:t>Tihuatlán</w:t>
            </w:r>
            <w:proofErr w:type="spellEnd"/>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80,923</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Coatepec</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79,787</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Acayucan</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79,459</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1.1</w:t>
            </w:r>
          </w:p>
        </w:tc>
      </w:tr>
      <w:tr w:rsidR="00784CEA" w:rsidRPr="00772E03" w:rsidTr="005A6972">
        <w:trPr>
          <w:jc w:val="center"/>
        </w:trPr>
        <w:tc>
          <w:tcPr>
            <w:tcW w:w="2367" w:type="dxa"/>
          </w:tcPr>
          <w:p w:rsidR="00784CEA" w:rsidRPr="00772E03" w:rsidRDefault="00784CEA" w:rsidP="00784CEA">
            <w:pPr>
              <w:spacing w:after="0" w:line="240" w:lineRule="auto"/>
              <w:jc w:val="both"/>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Las Choapas</w:t>
            </w:r>
          </w:p>
        </w:tc>
        <w:tc>
          <w:tcPr>
            <w:tcW w:w="1304"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70,092</w:t>
            </w:r>
          </w:p>
        </w:tc>
        <w:tc>
          <w:tcPr>
            <w:tcW w:w="1269" w:type="dxa"/>
            <w:noWrap/>
          </w:tcPr>
          <w:p w:rsidR="00784CEA" w:rsidRPr="00772E03" w:rsidRDefault="00784CEA" w:rsidP="00784CEA">
            <w:pPr>
              <w:spacing w:after="0" w:line="240" w:lineRule="auto"/>
              <w:jc w:val="right"/>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1.0</w:t>
            </w:r>
          </w:p>
        </w:tc>
      </w:tr>
      <w:tr w:rsidR="00784CEA" w:rsidRPr="00772E03" w:rsidTr="005A6972">
        <w:trPr>
          <w:jc w:val="center"/>
        </w:trPr>
        <w:tc>
          <w:tcPr>
            <w:tcW w:w="5020" w:type="dxa"/>
            <w:gridSpan w:val="3"/>
          </w:tcPr>
          <w:p w:rsidR="00784CEA" w:rsidRPr="00772E03" w:rsidRDefault="00784CEA" w:rsidP="0014630D">
            <w:pPr>
              <w:spacing w:after="0" w:line="240" w:lineRule="auto"/>
              <w:jc w:val="center"/>
              <w:rPr>
                <w:rFonts w:asciiTheme="minorHAnsi" w:hAnsiTheme="minorHAnsi" w:cstheme="minorHAnsi"/>
                <w:sz w:val="12"/>
                <w:szCs w:val="12"/>
                <w:lang w:val="es-ES" w:eastAsia="ja-JP"/>
              </w:rPr>
            </w:pPr>
            <w:r w:rsidRPr="00772E03">
              <w:rPr>
                <w:rFonts w:asciiTheme="minorHAnsi" w:hAnsiTheme="minorHAnsi" w:cstheme="minorHAnsi"/>
                <w:sz w:val="12"/>
                <w:szCs w:val="12"/>
                <w:lang w:val="es-ES" w:eastAsia="ja-JP"/>
              </w:rPr>
              <w:t>Fuente: II Conteo de Población y Vivienda 2005, INEGI</w:t>
            </w:r>
          </w:p>
        </w:tc>
      </w:tr>
    </w:tbl>
    <w:p w:rsidR="00784CEA" w:rsidRPr="00772E03" w:rsidRDefault="00784CEA" w:rsidP="00F0261F">
      <w:pPr>
        <w:rPr>
          <w:rFonts w:asciiTheme="minorHAnsi" w:hAnsiTheme="minorHAnsi" w:cstheme="minorHAnsi"/>
          <w:sz w:val="24"/>
          <w:szCs w:val="24"/>
          <w:lang w:val="es-ES"/>
        </w:rPr>
      </w:pPr>
    </w:p>
    <w:tbl>
      <w:tblPr>
        <w:tblW w:w="9074" w:type="dxa"/>
        <w:tblInd w:w="60" w:type="dxa"/>
        <w:tblCellMar>
          <w:left w:w="70" w:type="dxa"/>
          <w:right w:w="70" w:type="dxa"/>
        </w:tblCellMar>
        <w:tblLook w:val="04A0"/>
      </w:tblPr>
      <w:tblGrid>
        <w:gridCol w:w="2630"/>
        <w:gridCol w:w="1145"/>
        <w:gridCol w:w="977"/>
        <w:gridCol w:w="977"/>
        <w:gridCol w:w="977"/>
        <w:gridCol w:w="977"/>
        <w:gridCol w:w="1391"/>
      </w:tblGrid>
      <w:tr w:rsidR="003840F9" w:rsidRPr="00772E03" w:rsidTr="00AE56AA">
        <w:trPr>
          <w:trHeight w:val="271"/>
        </w:trPr>
        <w:tc>
          <w:tcPr>
            <w:tcW w:w="9074" w:type="dxa"/>
            <w:gridSpan w:val="7"/>
            <w:tcBorders>
              <w:top w:val="single" w:sz="8" w:space="0" w:color="000000"/>
              <w:left w:val="single" w:sz="8" w:space="0" w:color="000000"/>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b/>
                <w:bCs/>
                <w:color w:val="000000"/>
                <w:sz w:val="12"/>
                <w:szCs w:val="12"/>
                <w:lang w:eastAsia="es-MX" w:bidi="hi-IN"/>
              </w:rPr>
            </w:pPr>
            <w:r w:rsidRPr="00772E03">
              <w:rPr>
                <w:rFonts w:asciiTheme="minorHAnsi" w:eastAsia="Times New Roman" w:hAnsiTheme="minorHAnsi" w:cstheme="minorHAnsi"/>
                <w:b/>
                <w:bCs/>
                <w:color w:val="000000"/>
                <w:sz w:val="12"/>
                <w:szCs w:val="12"/>
                <w:lang w:val="es-ES" w:eastAsia="es-MX" w:bidi="hi-IN"/>
              </w:rPr>
              <w:t>COATZACOALCOS. POBLACIÓN POR SEXO Y GRANDES RANGOS DE EDAD</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0-14</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15-29</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30-44</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45-59</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60- y más</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Mujeres</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145,577</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37,347</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39,790</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35,774</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19,863</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10,614</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100</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25.65</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27.33</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24.57</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13.64</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7.29</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Hombres</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134,786</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38,736</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35,063</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30,571</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19,217</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9,037</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100</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28.74</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26.01</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22.68</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14.26</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6.70</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Total</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280,363</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76,083</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74,853</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66,345</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39,080</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19,651</w:t>
            </w:r>
          </w:p>
        </w:tc>
      </w:tr>
      <w:tr w:rsidR="003840F9" w:rsidRPr="00772E03" w:rsidTr="00AE56AA">
        <w:trPr>
          <w:trHeight w:val="271"/>
        </w:trPr>
        <w:tc>
          <w:tcPr>
            <w:tcW w:w="2630" w:type="dxa"/>
            <w:tcBorders>
              <w:top w:val="nil"/>
              <w:left w:val="single" w:sz="8" w:space="0" w:color="000000"/>
              <w:bottom w:val="single" w:sz="8" w:space="0" w:color="000000"/>
              <w:right w:val="single" w:sz="8" w:space="0" w:color="000000"/>
            </w:tcBorders>
            <w:shd w:val="clear" w:color="auto" w:fill="auto"/>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c>
          <w:tcPr>
            <w:tcW w:w="1145"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100</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27.14</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26.70</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23.66</w:t>
            </w:r>
          </w:p>
        </w:tc>
        <w:tc>
          <w:tcPr>
            <w:tcW w:w="977"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13.94</w:t>
            </w:r>
          </w:p>
        </w:tc>
        <w:tc>
          <w:tcPr>
            <w:tcW w:w="1390" w:type="dxa"/>
            <w:tcBorders>
              <w:top w:val="nil"/>
              <w:left w:val="nil"/>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7.01</w:t>
            </w:r>
          </w:p>
        </w:tc>
      </w:tr>
      <w:tr w:rsidR="003840F9" w:rsidRPr="00772E03" w:rsidTr="00AE56AA">
        <w:trPr>
          <w:trHeight w:val="271"/>
        </w:trPr>
        <w:tc>
          <w:tcPr>
            <w:tcW w:w="9074" w:type="dxa"/>
            <w:gridSpan w:val="7"/>
            <w:tcBorders>
              <w:top w:val="single" w:sz="8" w:space="0" w:color="000000"/>
              <w:left w:val="single" w:sz="8" w:space="0" w:color="000000"/>
              <w:bottom w:val="single" w:sz="8" w:space="0" w:color="000000"/>
              <w:right w:val="single" w:sz="8" w:space="0" w:color="000000"/>
            </w:tcBorders>
            <w:shd w:val="clear" w:color="auto" w:fill="auto"/>
            <w:noWrap/>
            <w:hideMark/>
          </w:tcPr>
          <w:p w:rsidR="003840F9" w:rsidRPr="00772E03" w:rsidRDefault="003840F9" w:rsidP="003840F9">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 </w:t>
            </w:r>
          </w:p>
        </w:tc>
      </w:tr>
    </w:tbl>
    <w:p w:rsidR="003840F9" w:rsidRPr="00772E03" w:rsidRDefault="003840F9" w:rsidP="005A6972">
      <w:pPr>
        <w:jc w:val="center"/>
        <w:rPr>
          <w:rFonts w:asciiTheme="minorHAnsi" w:hAnsiTheme="minorHAnsi" w:cstheme="minorHAnsi"/>
          <w:sz w:val="24"/>
          <w:szCs w:val="24"/>
        </w:rPr>
      </w:pPr>
    </w:p>
    <w:tbl>
      <w:tblPr>
        <w:tblW w:w="8303" w:type="dxa"/>
        <w:tblCellMar>
          <w:left w:w="70" w:type="dxa"/>
          <w:right w:w="70" w:type="dxa"/>
        </w:tblCellMar>
        <w:tblLook w:val="04A0"/>
      </w:tblPr>
      <w:tblGrid>
        <w:gridCol w:w="2055"/>
        <w:gridCol w:w="1389"/>
        <w:gridCol w:w="769"/>
        <w:gridCol w:w="1389"/>
        <w:gridCol w:w="649"/>
        <w:gridCol w:w="1389"/>
        <w:gridCol w:w="663"/>
      </w:tblGrid>
      <w:tr w:rsidR="005A4E21" w:rsidRPr="00772E03" w:rsidTr="00412F97">
        <w:trPr>
          <w:trHeight w:val="162"/>
        </w:trPr>
        <w:tc>
          <w:tcPr>
            <w:tcW w:w="8303"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b/>
                <w:bCs/>
                <w:color w:val="000000"/>
                <w:sz w:val="12"/>
                <w:szCs w:val="12"/>
                <w:lang w:eastAsia="es-MX" w:bidi="hi-IN"/>
              </w:rPr>
            </w:pPr>
            <w:r w:rsidRPr="00772E03">
              <w:rPr>
                <w:rFonts w:asciiTheme="minorHAnsi" w:eastAsia="Times New Roman" w:hAnsiTheme="minorHAnsi" w:cstheme="minorHAnsi"/>
                <w:b/>
                <w:bCs/>
                <w:color w:val="000000"/>
                <w:sz w:val="12"/>
                <w:szCs w:val="12"/>
                <w:lang w:val="es-ES" w:eastAsia="es-MX" w:bidi="hi-IN"/>
              </w:rPr>
              <w:t>COATZACOALCOS. POBLACION POR EDADES Y SEXO. 2005</w:t>
            </w:r>
          </w:p>
        </w:tc>
      </w:tr>
      <w:tr w:rsidR="005A4E21" w:rsidRPr="00772E03" w:rsidTr="00412F97">
        <w:trPr>
          <w:trHeight w:val="162"/>
        </w:trPr>
        <w:tc>
          <w:tcPr>
            <w:tcW w:w="2055" w:type="dxa"/>
            <w:tcBorders>
              <w:top w:val="nil"/>
              <w:left w:val="single" w:sz="8" w:space="0" w:color="auto"/>
              <w:bottom w:val="single" w:sz="8"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p>
        </w:tc>
        <w:tc>
          <w:tcPr>
            <w:tcW w:w="2158" w:type="dxa"/>
            <w:gridSpan w:val="2"/>
            <w:tcBorders>
              <w:top w:val="single" w:sz="8" w:space="0" w:color="auto"/>
              <w:left w:val="nil"/>
              <w:bottom w:val="single" w:sz="8" w:space="0" w:color="auto"/>
              <w:right w:val="single" w:sz="8" w:space="0" w:color="000000"/>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Hombres</w:t>
            </w:r>
          </w:p>
        </w:tc>
        <w:tc>
          <w:tcPr>
            <w:tcW w:w="2038" w:type="dxa"/>
            <w:gridSpan w:val="2"/>
            <w:tcBorders>
              <w:top w:val="single" w:sz="8" w:space="0" w:color="auto"/>
              <w:left w:val="nil"/>
              <w:bottom w:val="single" w:sz="8" w:space="0" w:color="auto"/>
              <w:right w:val="single" w:sz="8" w:space="0" w:color="000000"/>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Mujeres</w:t>
            </w:r>
          </w:p>
        </w:tc>
        <w:tc>
          <w:tcPr>
            <w:tcW w:w="2052" w:type="dxa"/>
            <w:gridSpan w:val="2"/>
            <w:tcBorders>
              <w:top w:val="nil"/>
              <w:left w:val="nil"/>
              <w:bottom w:val="single" w:sz="8" w:space="0" w:color="auto"/>
              <w:right w:val="single" w:sz="8" w:space="0" w:color="000000"/>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Total</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val="es-ES" w:eastAsia="es-MX" w:bidi="hi-IN"/>
              </w:rPr>
              <w:t>Total</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132,624</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143,388</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280,363</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100</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0 a 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11,903</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11,428</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23,331</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8.3</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5 a 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12,762</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9.6</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12,275</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8.6</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25,037</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8.9</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10 a 14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14,071</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10.6</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13,644</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27,715</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9.9</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15 a 19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13,157</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13,265</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9.3</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26,422</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9.4</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20 a 24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11,830</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13,817</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9.6</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25,647</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9.1</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25 a 29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10,076</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7.6</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12,708</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22,784</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8.1</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30 a 34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10,350</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7.8</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12,839</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9.0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23,189</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8.3</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35 a 39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10,304</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7.8</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12,172</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22,476</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8.0</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40 a 44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9,917</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10,763</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20,680</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7.4</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45 a 49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8,292</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6.3</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8,524</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5.9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16,816</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6.0</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50 a 54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6,571</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5.0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6,816</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4.8</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13,387</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4.8</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55 a 59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4,354</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3.3</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4,523</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3.2</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8,877</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3.2</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60 a 64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3,257</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3,523</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6,780</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2.4</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65 a 69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2,255</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1.7</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2,536</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1.8</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4,791</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1.7</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70 a 74</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1,520</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1.1</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1,847</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1.3</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3,367</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1.2</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val="es-ES" w:eastAsia="es-MX" w:bidi="hi-IN"/>
              </w:rPr>
              <w:t>75 a 99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1,993</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1.5</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2,678</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1.9</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4,671</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1.7</w:t>
            </w:r>
          </w:p>
        </w:tc>
      </w:tr>
      <w:tr w:rsidR="005A4E21" w:rsidRPr="00772E03" w:rsidTr="00412F97">
        <w:trPr>
          <w:trHeight w:val="153"/>
        </w:trPr>
        <w:tc>
          <w:tcPr>
            <w:tcW w:w="2055" w:type="dxa"/>
            <w:tcBorders>
              <w:top w:val="nil"/>
              <w:left w:val="single" w:sz="8" w:space="0" w:color="auto"/>
              <w:bottom w:val="single" w:sz="4" w:space="0" w:color="auto"/>
              <w:right w:val="single" w:sz="4" w:space="0" w:color="auto"/>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eastAsia="es-MX" w:bidi="hi-IN"/>
              </w:rPr>
              <w:t>100 y más</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12</w:t>
            </w:r>
          </w:p>
        </w:tc>
        <w:tc>
          <w:tcPr>
            <w:tcW w:w="76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0.0</w:t>
            </w:r>
          </w:p>
        </w:tc>
        <w:tc>
          <w:tcPr>
            <w:tcW w:w="138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eastAsia="es-MX" w:bidi="hi-IN"/>
              </w:rPr>
              <w:t>30</w:t>
            </w:r>
          </w:p>
        </w:tc>
        <w:tc>
          <w:tcPr>
            <w:tcW w:w="649" w:type="dxa"/>
            <w:tcBorders>
              <w:top w:val="nil"/>
              <w:left w:val="nil"/>
              <w:bottom w:val="single" w:sz="4" w:space="0" w:color="auto"/>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0.0</w:t>
            </w:r>
          </w:p>
        </w:tc>
        <w:tc>
          <w:tcPr>
            <w:tcW w:w="1389" w:type="dxa"/>
            <w:tcBorders>
              <w:top w:val="nil"/>
              <w:left w:val="nil"/>
              <w:bottom w:val="nil"/>
              <w:right w:val="single" w:sz="4"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42</w:t>
            </w:r>
          </w:p>
        </w:tc>
        <w:tc>
          <w:tcPr>
            <w:tcW w:w="663" w:type="dxa"/>
            <w:tcBorders>
              <w:top w:val="nil"/>
              <w:left w:val="nil"/>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0.0</w:t>
            </w:r>
          </w:p>
        </w:tc>
      </w:tr>
      <w:tr w:rsidR="005A4E21" w:rsidRPr="00772E03" w:rsidTr="00412F97">
        <w:trPr>
          <w:trHeight w:val="162"/>
        </w:trPr>
        <w:tc>
          <w:tcPr>
            <w:tcW w:w="2055" w:type="dxa"/>
            <w:tcBorders>
              <w:top w:val="nil"/>
              <w:left w:val="single" w:sz="8" w:space="0" w:color="auto"/>
              <w:bottom w:val="nil"/>
              <w:right w:val="nil"/>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eastAsia="es-MX" w:bidi="hi-IN"/>
              </w:rPr>
              <w:t>NE</w:t>
            </w:r>
          </w:p>
        </w:tc>
        <w:tc>
          <w:tcPr>
            <w:tcW w:w="1389" w:type="dxa"/>
            <w:tcBorders>
              <w:top w:val="nil"/>
              <w:left w:val="nil"/>
              <w:bottom w:val="nil"/>
              <w:right w:val="nil"/>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p>
        </w:tc>
        <w:tc>
          <w:tcPr>
            <w:tcW w:w="769" w:type="dxa"/>
            <w:tcBorders>
              <w:top w:val="nil"/>
              <w:left w:val="nil"/>
              <w:bottom w:val="nil"/>
              <w:right w:val="nil"/>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p>
        </w:tc>
        <w:tc>
          <w:tcPr>
            <w:tcW w:w="1389" w:type="dxa"/>
            <w:tcBorders>
              <w:top w:val="nil"/>
              <w:left w:val="nil"/>
              <w:bottom w:val="nil"/>
              <w:right w:val="nil"/>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p>
        </w:tc>
        <w:tc>
          <w:tcPr>
            <w:tcW w:w="649" w:type="dxa"/>
            <w:tcBorders>
              <w:top w:val="nil"/>
              <w:left w:val="nil"/>
              <w:bottom w:val="nil"/>
              <w:right w:val="nil"/>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p>
        </w:tc>
        <w:tc>
          <w:tcPr>
            <w:tcW w:w="1389" w:type="dxa"/>
            <w:tcBorders>
              <w:top w:val="single" w:sz="4" w:space="0" w:color="auto"/>
              <w:left w:val="single" w:sz="4" w:space="0" w:color="auto"/>
              <w:bottom w:val="single" w:sz="8" w:space="0" w:color="auto"/>
              <w:right w:val="nil"/>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b/>
                <w:bCs/>
                <w:sz w:val="12"/>
                <w:szCs w:val="12"/>
                <w:lang w:eastAsia="es-MX" w:bidi="hi-IN"/>
              </w:rPr>
            </w:pPr>
            <w:r w:rsidRPr="00772E03">
              <w:rPr>
                <w:rFonts w:asciiTheme="minorHAnsi" w:eastAsia="Times New Roman" w:hAnsiTheme="minorHAnsi" w:cstheme="minorHAnsi"/>
                <w:b/>
                <w:bCs/>
                <w:sz w:val="12"/>
                <w:szCs w:val="12"/>
                <w:lang w:eastAsia="es-MX" w:bidi="hi-IN"/>
              </w:rPr>
              <w:t>4,351</w:t>
            </w:r>
          </w:p>
        </w:tc>
        <w:tc>
          <w:tcPr>
            <w:tcW w:w="663" w:type="dxa"/>
            <w:tcBorders>
              <w:top w:val="nil"/>
              <w:left w:val="single" w:sz="4" w:space="0" w:color="auto"/>
              <w:bottom w:val="single" w:sz="4" w:space="0" w:color="auto"/>
              <w:right w:val="single" w:sz="8" w:space="0" w:color="auto"/>
            </w:tcBorders>
            <w:shd w:val="clear" w:color="auto" w:fill="auto"/>
            <w:noWrap/>
            <w:vAlign w:val="center"/>
            <w:hideMark/>
          </w:tcPr>
          <w:p w:rsidR="005A4E21" w:rsidRPr="00772E03" w:rsidRDefault="005A4E21" w:rsidP="00E337FE">
            <w:pPr>
              <w:spacing w:after="0" w:line="240" w:lineRule="auto"/>
              <w:jc w:val="center"/>
              <w:rPr>
                <w:rFonts w:asciiTheme="minorHAnsi" w:eastAsia="Times New Roman" w:hAnsiTheme="minorHAnsi" w:cstheme="minorHAnsi"/>
                <w:color w:val="000000"/>
                <w:sz w:val="12"/>
                <w:szCs w:val="12"/>
                <w:lang w:eastAsia="es-MX" w:bidi="hi-IN"/>
              </w:rPr>
            </w:pPr>
            <w:r w:rsidRPr="00772E03">
              <w:rPr>
                <w:rFonts w:asciiTheme="minorHAnsi" w:eastAsia="Times New Roman" w:hAnsiTheme="minorHAnsi" w:cstheme="minorHAnsi"/>
                <w:color w:val="000000"/>
                <w:sz w:val="12"/>
                <w:szCs w:val="12"/>
                <w:lang w:eastAsia="es-MX" w:bidi="hi-IN"/>
              </w:rPr>
              <w:t>1.6</w:t>
            </w:r>
          </w:p>
        </w:tc>
      </w:tr>
      <w:tr w:rsidR="005A4E21" w:rsidRPr="00772E03" w:rsidTr="00412F97">
        <w:trPr>
          <w:trHeight w:val="162"/>
        </w:trPr>
        <w:tc>
          <w:tcPr>
            <w:tcW w:w="8303"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5A4E21" w:rsidRPr="00772E03" w:rsidRDefault="005A4E21" w:rsidP="00E337FE">
            <w:pPr>
              <w:spacing w:after="0" w:line="240" w:lineRule="auto"/>
              <w:jc w:val="center"/>
              <w:rPr>
                <w:rFonts w:asciiTheme="minorHAnsi" w:eastAsia="Times New Roman" w:hAnsiTheme="minorHAnsi" w:cstheme="minorHAnsi"/>
                <w:sz w:val="12"/>
                <w:szCs w:val="12"/>
                <w:lang w:eastAsia="es-MX" w:bidi="hi-IN"/>
              </w:rPr>
            </w:pPr>
            <w:r w:rsidRPr="00772E03">
              <w:rPr>
                <w:rFonts w:asciiTheme="minorHAnsi" w:eastAsia="Times New Roman" w:hAnsiTheme="minorHAnsi" w:cstheme="minorHAnsi"/>
                <w:sz w:val="12"/>
                <w:szCs w:val="12"/>
                <w:lang w:val="es-ES" w:eastAsia="es-MX" w:bidi="hi-IN"/>
              </w:rPr>
              <w:t>Fuente: II Conteo de Población y Vivienda 2005, INEGI</w:t>
            </w:r>
          </w:p>
        </w:tc>
      </w:tr>
    </w:tbl>
    <w:p w:rsidR="00FB2CA3" w:rsidRDefault="00FB2CA3" w:rsidP="00F0261F">
      <w:pPr>
        <w:rPr>
          <w:rFonts w:asciiTheme="minorHAnsi" w:hAnsiTheme="minorHAnsi" w:cstheme="minorHAnsi"/>
          <w:sz w:val="24"/>
          <w:szCs w:val="24"/>
        </w:rPr>
      </w:pPr>
    </w:p>
    <w:tbl>
      <w:tblPr>
        <w:tblW w:w="8575" w:type="dxa"/>
        <w:tblCellMar>
          <w:left w:w="70" w:type="dxa"/>
          <w:right w:w="70" w:type="dxa"/>
        </w:tblCellMar>
        <w:tblLook w:val="04A0"/>
      </w:tblPr>
      <w:tblGrid>
        <w:gridCol w:w="4181"/>
        <w:gridCol w:w="1985"/>
        <w:gridCol w:w="1417"/>
        <w:gridCol w:w="992"/>
      </w:tblGrid>
      <w:tr w:rsidR="00412F97" w:rsidRPr="00772E03" w:rsidTr="00412F97">
        <w:trPr>
          <w:trHeight w:val="178"/>
        </w:trPr>
        <w:tc>
          <w:tcPr>
            <w:tcW w:w="8575"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b/>
                <w:bCs/>
                <w:sz w:val="14"/>
                <w:szCs w:val="14"/>
                <w:lang w:eastAsia="es-MX" w:bidi="hi-IN"/>
              </w:rPr>
            </w:pPr>
            <w:r w:rsidRPr="00772E03">
              <w:rPr>
                <w:rFonts w:asciiTheme="minorHAnsi" w:eastAsia="Times New Roman" w:hAnsiTheme="minorHAnsi" w:cstheme="minorHAnsi"/>
                <w:b/>
                <w:bCs/>
                <w:sz w:val="14"/>
                <w:szCs w:val="14"/>
                <w:lang w:val="es-ES" w:eastAsia="es-MX" w:bidi="hi-IN"/>
              </w:rPr>
              <w:t>COATZACOALCOS. CALIDAD DE LA VIVIENDA. 2005</w:t>
            </w: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985" w:type="dxa"/>
            <w:tcBorders>
              <w:top w:val="nil"/>
              <w:left w:val="nil"/>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Viviendas</w:t>
            </w:r>
          </w:p>
        </w:tc>
        <w:tc>
          <w:tcPr>
            <w:tcW w:w="1417" w:type="dxa"/>
            <w:tcBorders>
              <w:top w:val="nil"/>
              <w:left w:val="nil"/>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Porcentaje del total</w:t>
            </w:r>
          </w:p>
        </w:tc>
        <w:tc>
          <w:tcPr>
            <w:tcW w:w="992" w:type="dxa"/>
            <w:tcBorders>
              <w:top w:val="nil"/>
              <w:left w:val="nil"/>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desventaja</w:t>
            </w:r>
          </w:p>
        </w:tc>
      </w:tr>
      <w:tr w:rsidR="00412F97" w:rsidRPr="00772E03" w:rsidTr="00412F97">
        <w:trPr>
          <w:trHeight w:val="366"/>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piso de material diferente de tierra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72488</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96.67000067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piso de tierra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2497</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3.329999333</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piso de tierra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9294.988844</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66"/>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agua entubada de la red pública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69884</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93.25326928</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30"/>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agua entubada de la red pública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5056</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6.746730718</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22"/>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sin agua entubada de la red pública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18832.07187</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drenaje</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74245</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99.10829896</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drenaje</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668</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0.89170104</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sin drenaje</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2488.994858</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74112</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96.34444387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2812</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3.655556133</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sin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10203.7118</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42"/>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agua entubada de la red pública, drenaje y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68831</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89.47922625</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agua entubada de la red pública, drenaje ni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100</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0.12999844</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Resto</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7993</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10.39077531</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54"/>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agua entubada de la red pública, drenaje ni energía eléctrica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362.8631506</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noWrap/>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60"/>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algún bien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75086</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97.61062867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50"/>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ningún bien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1838</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2.389371328</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0"/>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ningún bien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6669.424709</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74"/>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televisión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71409</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92.83058603</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66"/>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televisión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5515</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7.169413967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56"/>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televisión</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20011.90276</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4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refrigerador</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65819</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85.56367324</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6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refrigerador</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11105</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14.43632676</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366"/>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refrigerador</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40295.95288</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lavadora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54582</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70.95574853</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lavadora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22342</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29.04425147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52"/>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lavadora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81070.88512</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47"/>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Con computadora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14396</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18.71457543</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22"/>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Sin computadora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62528</w:t>
            </w: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81.28542457</w:t>
            </w: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268"/>
        </w:trPr>
        <w:tc>
          <w:tcPr>
            <w:tcW w:w="4181" w:type="dxa"/>
            <w:tcBorders>
              <w:top w:val="nil"/>
              <w:left w:val="single" w:sz="8" w:space="0" w:color="auto"/>
              <w:bottom w:val="single" w:sz="8" w:space="0" w:color="auto"/>
              <w:right w:val="single" w:sz="8" w:space="0" w:color="auto"/>
            </w:tcBorders>
            <w:shd w:val="clear" w:color="auto" w:fill="auto"/>
            <w:vAlign w:val="center"/>
            <w:hideMark/>
          </w:tcPr>
          <w:p w:rsidR="00412F97" w:rsidRPr="00772E03" w:rsidRDefault="00412F97" w:rsidP="004D6A66">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Habitantes en viviendas  sin computadora</w:t>
            </w:r>
          </w:p>
        </w:tc>
        <w:tc>
          <w:tcPr>
            <w:tcW w:w="1985"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4"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single" w:sz="4"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226891.0708</w:t>
            </w: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985" w:type="dxa"/>
            <w:tcBorders>
              <w:top w:val="nil"/>
              <w:left w:val="nil"/>
              <w:bottom w:val="nil"/>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8" w:space="0" w:color="auto"/>
              <w:right w:val="single" w:sz="4"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nil"/>
              <w:left w:val="nil"/>
              <w:bottom w:val="nil"/>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r w:rsidR="00412F97" w:rsidRPr="00772E03" w:rsidTr="00412F97">
        <w:trPr>
          <w:trHeight w:val="178"/>
        </w:trPr>
        <w:tc>
          <w:tcPr>
            <w:tcW w:w="4181" w:type="dxa"/>
            <w:tcBorders>
              <w:top w:val="nil"/>
              <w:left w:val="single" w:sz="8" w:space="0" w:color="auto"/>
              <w:bottom w:val="single" w:sz="8"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Fuente: II Conteo de Población y Vivienda 2005, INEGI</w:t>
            </w:r>
          </w:p>
        </w:tc>
        <w:tc>
          <w:tcPr>
            <w:tcW w:w="1985" w:type="dxa"/>
            <w:tcBorders>
              <w:top w:val="single" w:sz="8" w:space="0" w:color="auto"/>
              <w:left w:val="nil"/>
              <w:bottom w:val="single" w:sz="8" w:space="0" w:color="auto"/>
              <w:right w:val="nil"/>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1417" w:type="dxa"/>
            <w:tcBorders>
              <w:top w:val="nil"/>
              <w:left w:val="nil"/>
              <w:bottom w:val="single" w:sz="8" w:space="0" w:color="auto"/>
              <w:right w:val="nil"/>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412F97" w:rsidRPr="00772E03" w:rsidRDefault="00412F97" w:rsidP="004D6A66">
            <w:pPr>
              <w:spacing w:after="0" w:line="240" w:lineRule="auto"/>
              <w:jc w:val="center"/>
              <w:rPr>
                <w:rFonts w:asciiTheme="minorHAnsi" w:eastAsia="Times New Roman" w:hAnsiTheme="minorHAnsi" w:cstheme="minorHAnsi"/>
                <w:sz w:val="14"/>
                <w:szCs w:val="14"/>
                <w:lang w:eastAsia="es-MX" w:bidi="hi-IN"/>
              </w:rPr>
            </w:pPr>
          </w:p>
        </w:tc>
      </w:tr>
    </w:tbl>
    <w:p w:rsidR="00412F97" w:rsidRPr="00772E03" w:rsidRDefault="00412F97" w:rsidP="00412F97">
      <w:pPr>
        <w:rPr>
          <w:rFonts w:asciiTheme="minorHAnsi" w:hAnsiTheme="minorHAnsi" w:cstheme="minorHAnsi"/>
          <w:sz w:val="24"/>
          <w:szCs w:val="24"/>
        </w:rPr>
      </w:pPr>
    </w:p>
    <w:tbl>
      <w:tblPr>
        <w:tblW w:w="8120" w:type="dxa"/>
        <w:jc w:val="center"/>
        <w:tblInd w:w="53" w:type="dxa"/>
        <w:tblCellMar>
          <w:left w:w="70" w:type="dxa"/>
          <w:right w:w="70" w:type="dxa"/>
        </w:tblCellMar>
        <w:tblLook w:val="04A0"/>
      </w:tblPr>
      <w:tblGrid>
        <w:gridCol w:w="5560"/>
        <w:gridCol w:w="1200"/>
        <w:gridCol w:w="1360"/>
      </w:tblGrid>
      <w:tr w:rsidR="00C75954" w:rsidRPr="00772E03" w:rsidTr="00C75954">
        <w:trPr>
          <w:trHeight w:val="360"/>
          <w:jc w:val="center"/>
        </w:trPr>
        <w:tc>
          <w:tcPr>
            <w:tcW w:w="8120"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C75954" w:rsidRPr="00772E03" w:rsidRDefault="00C75954" w:rsidP="00C75954">
            <w:pPr>
              <w:spacing w:after="0" w:line="240" w:lineRule="auto"/>
              <w:jc w:val="center"/>
              <w:rPr>
                <w:rFonts w:asciiTheme="minorHAnsi" w:eastAsia="Times New Roman" w:hAnsiTheme="minorHAnsi" w:cstheme="minorHAnsi"/>
                <w:b/>
                <w:bCs/>
                <w:sz w:val="14"/>
                <w:szCs w:val="14"/>
                <w:lang w:eastAsia="es-MX" w:bidi="hi-IN"/>
              </w:rPr>
            </w:pPr>
            <w:r w:rsidRPr="00772E03">
              <w:rPr>
                <w:rFonts w:asciiTheme="minorHAnsi" w:eastAsia="Times New Roman" w:hAnsiTheme="minorHAnsi" w:cstheme="minorHAnsi"/>
                <w:b/>
                <w:bCs/>
                <w:sz w:val="14"/>
                <w:szCs w:val="14"/>
                <w:lang w:eastAsia="es-MX" w:bidi="hi-IN"/>
              </w:rPr>
              <w:lastRenderedPageBreak/>
              <w:t>COATZACOALCOS. INDICADORES DE MARGINACIÓN. 2000-2005</w:t>
            </w:r>
          </w:p>
        </w:tc>
      </w:tr>
      <w:tr w:rsidR="00C75954" w:rsidRPr="00772E03" w:rsidTr="00C75954">
        <w:trPr>
          <w:trHeight w:val="270"/>
          <w:jc w:val="center"/>
        </w:trPr>
        <w:tc>
          <w:tcPr>
            <w:tcW w:w="5560" w:type="dxa"/>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Variables de marginación</w:t>
            </w:r>
          </w:p>
        </w:tc>
        <w:tc>
          <w:tcPr>
            <w:tcW w:w="1200" w:type="dxa"/>
            <w:tcBorders>
              <w:top w:val="nil"/>
              <w:left w:val="nil"/>
              <w:bottom w:val="single" w:sz="8" w:space="0" w:color="auto"/>
              <w:right w:val="single" w:sz="8"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Estado</w:t>
            </w:r>
          </w:p>
        </w:tc>
        <w:tc>
          <w:tcPr>
            <w:tcW w:w="1360" w:type="dxa"/>
            <w:tcBorders>
              <w:top w:val="nil"/>
              <w:left w:val="nil"/>
              <w:bottom w:val="single" w:sz="8" w:space="0" w:color="auto"/>
              <w:right w:val="single" w:sz="8"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Coatzacoalcos</w:t>
            </w:r>
          </w:p>
        </w:tc>
      </w:tr>
      <w:tr w:rsidR="00C75954" w:rsidRPr="00772E03" w:rsidTr="00C75954">
        <w:trPr>
          <w:trHeight w:val="270"/>
          <w:jc w:val="center"/>
        </w:trPr>
        <w:tc>
          <w:tcPr>
            <w:tcW w:w="5560" w:type="dxa"/>
            <w:tcBorders>
              <w:top w:val="nil"/>
              <w:left w:val="single" w:sz="8" w:space="0" w:color="auto"/>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Población total</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7 110 214</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280 363   </w:t>
            </w:r>
          </w:p>
        </w:tc>
      </w:tr>
      <w:tr w:rsidR="00C75954" w:rsidRPr="00772E03" w:rsidTr="00C75954">
        <w:trPr>
          <w:trHeight w:val="27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Población analfabeta de 15 años o más</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13.4</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5.69       </w:t>
            </w:r>
          </w:p>
        </w:tc>
      </w:tr>
      <w:tr w:rsidR="00C75954" w:rsidRPr="00772E03" w:rsidTr="00C75954">
        <w:trPr>
          <w:trHeight w:val="315"/>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Población sin primaria completa de 15 años o más</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32.9</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18.18       </w:t>
            </w:r>
          </w:p>
        </w:tc>
      </w:tr>
      <w:tr w:rsidR="00C75954" w:rsidRPr="00772E03" w:rsidTr="00C75954">
        <w:trPr>
          <w:trHeight w:val="315"/>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Ocupantes en viviendas sin drenaje ni servicio sanitario</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4.2</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0.54       </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Ocupantes en viviendas sin energía eléctrica</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4.7</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0.72       </w:t>
            </w:r>
          </w:p>
        </w:tc>
      </w:tr>
      <w:tr w:rsidR="00C75954" w:rsidRPr="00772E03" w:rsidTr="00C75954">
        <w:trPr>
          <w:trHeight w:val="30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Ocupantes en viviendas sin agua entubada</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23.3</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5.40       </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Viviendas con algún nivel de hacinamiento</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45</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38.02       </w:t>
            </w:r>
          </w:p>
        </w:tc>
      </w:tr>
      <w:tr w:rsidR="00C75954" w:rsidRPr="00772E03" w:rsidTr="00C75954">
        <w:trPr>
          <w:trHeight w:val="345"/>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Ocupantes en viviendas con piso de tierra</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22.8</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3.50       </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Población en localidades con menos de 5 000 habitantes</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46.7</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3.89       </w:t>
            </w:r>
          </w:p>
        </w:tc>
      </w:tr>
      <w:tr w:rsidR="00C75954" w:rsidRPr="00772E03" w:rsidTr="00C75954">
        <w:trPr>
          <w:trHeight w:val="345"/>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Población ocupada con ingreso de hasta 2 salarios mínimos</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58.4</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46.73       </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Índice de marginación</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1.0767</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- 1.43390  </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Grado de marginación</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Alto</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Muy bajo</w:t>
            </w:r>
          </w:p>
        </w:tc>
      </w:tr>
      <w:tr w:rsidR="00C75954" w:rsidRPr="00772E03" w:rsidTr="00C75954">
        <w:trPr>
          <w:trHeight w:val="330"/>
          <w:jc w:val="center"/>
        </w:trPr>
        <w:tc>
          <w:tcPr>
            <w:tcW w:w="556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Lugar que ocupa en el contexto estatal</w:t>
            </w:r>
          </w:p>
        </w:tc>
        <w:tc>
          <w:tcPr>
            <w:tcW w:w="1200" w:type="dxa"/>
            <w:tcBorders>
              <w:top w:val="nil"/>
              <w:left w:val="nil"/>
              <w:bottom w:val="single" w:sz="4" w:space="0" w:color="auto"/>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w:t>
            </w:r>
          </w:p>
        </w:tc>
        <w:tc>
          <w:tcPr>
            <w:tcW w:w="1360" w:type="dxa"/>
            <w:tcBorders>
              <w:top w:val="nil"/>
              <w:left w:val="nil"/>
              <w:bottom w:val="single" w:sz="4" w:space="0" w:color="auto"/>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206         </w:t>
            </w:r>
          </w:p>
        </w:tc>
      </w:tr>
      <w:tr w:rsidR="00C75954" w:rsidRPr="00772E03" w:rsidTr="00C75954">
        <w:trPr>
          <w:trHeight w:val="285"/>
          <w:jc w:val="center"/>
        </w:trPr>
        <w:tc>
          <w:tcPr>
            <w:tcW w:w="5560" w:type="dxa"/>
            <w:tcBorders>
              <w:top w:val="single" w:sz="4" w:space="0" w:color="auto"/>
              <w:left w:val="single" w:sz="8" w:space="0" w:color="auto"/>
              <w:bottom w:val="nil"/>
              <w:right w:val="single" w:sz="4" w:space="0" w:color="auto"/>
            </w:tcBorders>
            <w:shd w:val="clear" w:color="auto" w:fill="auto"/>
            <w:vAlign w:val="center"/>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Lugar que ocupa en el contexto nacional</w:t>
            </w:r>
          </w:p>
        </w:tc>
        <w:tc>
          <w:tcPr>
            <w:tcW w:w="1200" w:type="dxa"/>
            <w:tcBorders>
              <w:top w:val="nil"/>
              <w:left w:val="nil"/>
              <w:bottom w:val="nil"/>
              <w:right w:val="single" w:sz="4"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4</w:t>
            </w:r>
          </w:p>
        </w:tc>
        <w:tc>
          <w:tcPr>
            <w:tcW w:w="1360" w:type="dxa"/>
            <w:tcBorders>
              <w:top w:val="nil"/>
              <w:left w:val="nil"/>
              <w:bottom w:val="nil"/>
              <w:right w:val="single" w:sz="8" w:space="0" w:color="auto"/>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2292       </w:t>
            </w:r>
          </w:p>
        </w:tc>
      </w:tr>
      <w:tr w:rsidR="00C75954" w:rsidRPr="00772E03" w:rsidTr="0014630D">
        <w:trPr>
          <w:trHeight w:val="555"/>
          <w:jc w:val="center"/>
        </w:trPr>
        <w:tc>
          <w:tcPr>
            <w:tcW w:w="812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rsidR="00C75954" w:rsidRPr="00772E03" w:rsidRDefault="00C75954" w:rsidP="0014630D">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Fuente: Estimaciones del CONAPO con base en el II Conteo de Población y Vivienda 2005 y Encuesta Nacional de Ocupación y Empleo 2005 (IV Trimestre).</w:t>
            </w:r>
          </w:p>
        </w:tc>
      </w:tr>
    </w:tbl>
    <w:p w:rsidR="00FB2CA3" w:rsidRPr="00772E03" w:rsidRDefault="00FB2CA3" w:rsidP="00F0261F">
      <w:pPr>
        <w:rPr>
          <w:rFonts w:asciiTheme="minorHAnsi" w:hAnsiTheme="minorHAnsi" w:cstheme="minorHAnsi"/>
          <w:sz w:val="24"/>
          <w:szCs w:val="24"/>
        </w:rPr>
      </w:pPr>
    </w:p>
    <w:tbl>
      <w:tblPr>
        <w:tblW w:w="8193" w:type="dxa"/>
        <w:jc w:val="center"/>
        <w:tblInd w:w="53" w:type="dxa"/>
        <w:tblCellMar>
          <w:left w:w="70" w:type="dxa"/>
          <w:right w:w="70" w:type="dxa"/>
        </w:tblCellMar>
        <w:tblLook w:val="04A0"/>
      </w:tblPr>
      <w:tblGrid>
        <w:gridCol w:w="4569"/>
        <w:gridCol w:w="1208"/>
        <w:gridCol w:w="1208"/>
        <w:gridCol w:w="1208"/>
      </w:tblGrid>
      <w:tr w:rsidR="00C75954" w:rsidRPr="00772E03" w:rsidTr="00E337FE">
        <w:trPr>
          <w:trHeight w:val="298"/>
          <w:jc w:val="center"/>
        </w:trPr>
        <w:tc>
          <w:tcPr>
            <w:tcW w:w="8191" w:type="dxa"/>
            <w:gridSpan w:val="4"/>
            <w:tcBorders>
              <w:top w:val="single" w:sz="8" w:space="0" w:color="000000"/>
              <w:left w:val="single" w:sz="8" w:space="0" w:color="000000"/>
              <w:bottom w:val="single" w:sz="8" w:space="0" w:color="000000"/>
              <w:right w:val="single" w:sz="8" w:space="0" w:color="000000"/>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b/>
                <w:bCs/>
                <w:sz w:val="14"/>
                <w:szCs w:val="14"/>
                <w:lang w:eastAsia="es-MX" w:bidi="hi-IN"/>
              </w:rPr>
            </w:pPr>
            <w:r w:rsidRPr="00772E03">
              <w:rPr>
                <w:rFonts w:asciiTheme="minorHAnsi" w:eastAsia="Times New Roman" w:hAnsiTheme="minorHAnsi" w:cstheme="minorHAnsi"/>
                <w:b/>
                <w:bCs/>
                <w:sz w:val="14"/>
                <w:szCs w:val="14"/>
                <w:lang w:val="es-ES" w:eastAsia="es-MX" w:bidi="hi-IN"/>
              </w:rPr>
              <w:t>COATZACOALCOS. INDICADORES DE MARGINACION. 2000-2005</w:t>
            </w:r>
          </w:p>
        </w:tc>
      </w:tr>
      <w:tr w:rsidR="00C75954" w:rsidRPr="00772E03" w:rsidTr="00E337FE">
        <w:trPr>
          <w:trHeight w:val="530"/>
          <w:jc w:val="center"/>
        </w:trPr>
        <w:tc>
          <w:tcPr>
            <w:tcW w:w="4569" w:type="dxa"/>
            <w:tcBorders>
              <w:top w:val="nil"/>
              <w:left w:val="single" w:sz="8" w:space="0" w:color="000000"/>
              <w:bottom w:val="nil"/>
              <w:right w:val="single" w:sz="8" w:space="0" w:color="000000"/>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Variable de marginación</w:t>
            </w:r>
          </w:p>
        </w:tc>
        <w:tc>
          <w:tcPr>
            <w:tcW w:w="1208" w:type="dxa"/>
            <w:tcBorders>
              <w:top w:val="nil"/>
              <w:left w:val="nil"/>
              <w:bottom w:val="nil"/>
              <w:right w:val="single" w:sz="8" w:space="0" w:color="000000"/>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2000</w:t>
            </w:r>
          </w:p>
        </w:tc>
        <w:tc>
          <w:tcPr>
            <w:tcW w:w="1208" w:type="dxa"/>
            <w:tcBorders>
              <w:top w:val="nil"/>
              <w:left w:val="nil"/>
              <w:bottom w:val="nil"/>
              <w:right w:val="single" w:sz="8" w:space="0" w:color="000000"/>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2005</w:t>
            </w:r>
          </w:p>
        </w:tc>
        <w:tc>
          <w:tcPr>
            <w:tcW w:w="1208" w:type="dxa"/>
            <w:tcBorders>
              <w:top w:val="nil"/>
              <w:left w:val="nil"/>
              <w:bottom w:val="nil"/>
              <w:right w:val="single" w:sz="8" w:space="0" w:color="000000"/>
            </w:tcBorders>
            <w:shd w:val="clear" w:color="auto" w:fill="auto"/>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Puntos Porcentual</w:t>
            </w:r>
          </w:p>
        </w:tc>
      </w:tr>
      <w:tr w:rsidR="00C75954" w:rsidRPr="00772E03" w:rsidTr="00E337FE">
        <w:trPr>
          <w:trHeight w:val="298"/>
          <w:jc w:val="center"/>
        </w:trPr>
        <w:tc>
          <w:tcPr>
            <w:tcW w:w="4569" w:type="dxa"/>
            <w:tcBorders>
              <w:top w:val="single" w:sz="8" w:space="0" w:color="auto"/>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Población analfabeta de 15 años o más</w:t>
            </w:r>
          </w:p>
        </w:tc>
        <w:tc>
          <w:tcPr>
            <w:tcW w:w="1208" w:type="dxa"/>
            <w:tcBorders>
              <w:top w:val="single" w:sz="8" w:space="0" w:color="auto"/>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6.45        </w:t>
            </w:r>
          </w:p>
        </w:tc>
        <w:tc>
          <w:tcPr>
            <w:tcW w:w="1208" w:type="dxa"/>
            <w:tcBorders>
              <w:top w:val="single" w:sz="8" w:space="0" w:color="auto"/>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5.69       </w:t>
            </w:r>
          </w:p>
        </w:tc>
        <w:tc>
          <w:tcPr>
            <w:tcW w:w="1208" w:type="dxa"/>
            <w:tcBorders>
              <w:top w:val="single" w:sz="8" w:space="0" w:color="auto"/>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0.76        </w:t>
            </w:r>
          </w:p>
        </w:tc>
      </w:tr>
      <w:tr w:rsidR="00C75954" w:rsidRPr="00772E03" w:rsidTr="00E337FE">
        <w:trPr>
          <w:trHeight w:val="315"/>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Población sin primaria completa de 15 años o más</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22.57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18.18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4.39        </w:t>
            </w:r>
          </w:p>
        </w:tc>
      </w:tr>
      <w:tr w:rsidR="00C75954" w:rsidRPr="00772E03" w:rsidTr="00E337FE">
        <w:trPr>
          <w:trHeight w:val="298"/>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Ocupantes en viviendas sin drenaje ni servicio sanitario</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1.70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0.54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1.16        </w:t>
            </w:r>
          </w:p>
        </w:tc>
      </w:tr>
      <w:tr w:rsidR="00C75954" w:rsidRPr="00772E03" w:rsidTr="00E337FE">
        <w:trPr>
          <w:trHeight w:val="282"/>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Ocupantes en viviendas sin energía eléctrica</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2.28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0.72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1.56        </w:t>
            </w:r>
          </w:p>
        </w:tc>
      </w:tr>
      <w:tr w:rsidR="00C75954" w:rsidRPr="00772E03" w:rsidTr="00E337FE">
        <w:trPr>
          <w:trHeight w:val="331"/>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Ocupantes en viviendas sin agua entubada</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9.42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5.40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4.02        </w:t>
            </w:r>
          </w:p>
        </w:tc>
      </w:tr>
      <w:tr w:rsidR="00C75954" w:rsidRPr="00772E03" w:rsidTr="00E337FE">
        <w:trPr>
          <w:trHeight w:val="282"/>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Viviendas con algún  nivel de hacinamiento</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44.04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38.02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6.02        </w:t>
            </w:r>
          </w:p>
        </w:tc>
      </w:tr>
      <w:tr w:rsidR="00C75954" w:rsidRPr="00772E03" w:rsidTr="00E337FE">
        <w:trPr>
          <w:trHeight w:val="298"/>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Ocupantes en viviendas con piso de tierra</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5.50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3.50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2.00        </w:t>
            </w:r>
          </w:p>
        </w:tc>
      </w:tr>
      <w:tr w:rsidR="00C75954" w:rsidRPr="00772E03" w:rsidTr="00E337FE">
        <w:trPr>
          <w:trHeight w:val="331"/>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Población en localidades con menos de 5 000 habitantes</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4.19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3.89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0.30        </w:t>
            </w:r>
          </w:p>
        </w:tc>
      </w:tr>
      <w:tr w:rsidR="00C75954" w:rsidRPr="00772E03" w:rsidTr="00E337FE">
        <w:trPr>
          <w:trHeight w:val="331"/>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 Población ocupada con ingreso de hasta 2 salarios mínimos</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55.34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46.73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8.61        </w:t>
            </w:r>
          </w:p>
        </w:tc>
      </w:tr>
      <w:tr w:rsidR="00C75954" w:rsidRPr="00772E03" w:rsidTr="00E337FE">
        <w:trPr>
          <w:trHeight w:val="348"/>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Índice de marginación</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- 1.40987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- 1.43390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0.02        </w:t>
            </w:r>
          </w:p>
        </w:tc>
      </w:tr>
      <w:tr w:rsidR="00C75954" w:rsidRPr="00772E03" w:rsidTr="00E337FE">
        <w:trPr>
          <w:trHeight w:val="282"/>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Grado de marginación</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Muy bajo</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Muy bajo</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w:t>
            </w:r>
          </w:p>
        </w:tc>
      </w:tr>
      <w:tr w:rsidR="00C75954" w:rsidRPr="00772E03" w:rsidTr="00E337FE">
        <w:trPr>
          <w:trHeight w:val="282"/>
          <w:jc w:val="center"/>
        </w:trPr>
        <w:tc>
          <w:tcPr>
            <w:tcW w:w="4569" w:type="dxa"/>
            <w:tcBorders>
              <w:top w:val="nil"/>
              <w:left w:val="single" w:sz="8" w:space="0" w:color="auto"/>
              <w:bottom w:val="single" w:sz="4"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Lugar que ocupa en el contexto estatal</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203         </w:t>
            </w:r>
          </w:p>
        </w:tc>
        <w:tc>
          <w:tcPr>
            <w:tcW w:w="1208" w:type="dxa"/>
            <w:tcBorders>
              <w:top w:val="nil"/>
              <w:left w:val="nil"/>
              <w:bottom w:val="single" w:sz="4"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206         </w:t>
            </w:r>
          </w:p>
        </w:tc>
        <w:tc>
          <w:tcPr>
            <w:tcW w:w="1208" w:type="dxa"/>
            <w:tcBorders>
              <w:top w:val="nil"/>
              <w:left w:val="nil"/>
              <w:bottom w:val="single" w:sz="4"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3        </w:t>
            </w:r>
          </w:p>
        </w:tc>
      </w:tr>
      <w:tr w:rsidR="00C75954" w:rsidRPr="00772E03" w:rsidTr="00E337FE">
        <w:trPr>
          <w:trHeight w:val="282"/>
          <w:jc w:val="center"/>
        </w:trPr>
        <w:tc>
          <w:tcPr>
            <w:tcW w:w="4569" w:type="dxa"/>
            <w:tcBorders>
              <w:top w:val="nil"/>
              <w:left w:val="single" w:sz="8" w:space="0" w:color="auto"/>
              <w:bottom w:val="single" w:sz="8" w:space="0" w:color="auto"/>
              <w:right w:val="single" w:sz="4" w:space="0" w:color="auto"/>
            </w:tcBorders>
            <w:shd w:val="clear" w:color="auto" w:fill="auto"/>
            <w:hideMark/>
          </w:tcPr>
          <w:p w:rsidR="00C75954" w:rsidRPr="00772E03" w:rsidRDefault="00C75954" w:rsidP="00C75954">
            <w:pPr>
              <w:spacing w:after="0" w:line="240" w:lineRule="auto"/>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Lugar que ocupa en el contexto nacional</w:t>
            </w:r>
          </w:p>
        </w:tc>
        <w:tc>
          <w:tcPr>
            <w:tcW w:w="1208" w:type="dxa"/>
            <w:tcBorders>
              <w:top w:val="nil"/>
              <w:left w:val="nil"/>
              <w:bottom w:val="single" w:sz="8"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2261       </w:t>
            </w:r>
          </w:p>
        </w:tc>
        <w:tc>
          <w:tcPr>
            <w:tcW w:w="1208" w:type="dxa"/>
            <w:tcBorders>
              <w:top w:val="nil"/>
              <w:left w:val="nil"/>
              <w:bottom w:val="single" w:sz="8" w:space="0" w:color="auto"/>
              <w:right w:val="single" w:sz="4" w:space="0" w:color="auto"/>
            </w:tcBorders>
            <w:shd w:val="clear" w:color="auto" w:fill="auto"/>
            <w:noWrap/>
            <w:vAlign w:val="bottom"/>
            <w:hideMark/>
          </w:tcPr>
          <w:p w:rsidR="00C75954" w:rsidRPr="00772E03" w:rsidRDefault="00C75954" w:rsidP="00C75954">
            <w:pPr>
              <w:spacing w:after="0" w:line="240" w:lineRule="auto"/>
              <w:jc w:val="center"/>
              <w:rPr>
                <w:rFonts w:asciiTheme="minorHAnsi" w:eastAsia="Times New Roman" w:hAnsiTheme="minorHAnsi" w:cstheme="minorHAnsi"/>
                <w:sz w:val="16"/>
                <w:szCs w:val="16"/>
                <w:lang w:eastAsia="es-MX" w:bidi="hi-IN"/>
              </w:rPr>
            </w:pPr>
            <w:r w:rsidRPr="00772E03">
              <w:rPr>
                <w:rFonts w:asciiTheme="minorHAnsi" w:eastAsia="Times New Roman" w:hAnsiTheme="minorHAnsi" w:cstheme="minorHAnsi"/>
                <w:sz w:val="16"/>
                <w:szCs w:val="16"/>
                <w:lang w:eastAsia="es-MX" w:bidi="hi-IN"/>
              </w:rPr>
              <w:t xml:space="preserve">2292       </w:t>
            </w:r>
          </w:p>
        </w:tc>
        <w:tc>
          <w:tcPr>
            <w:tcW w:w="1208" w:type="dxa"/>
            <w:tcBorders>
              <w:top w:val="nil"/>
              <w:left w:val="nil"/>
              <w:bottom w:val="single" w:sz="8" w:space="0" w:color="auto"/>
              <w:right w:val="single" w:sz="8" w:space="0" w:color="auto"/>
            </w:tcBorders>
            <w:shd w:val="clear" w:color="auto" w:fill="auto"/>
            <w:vAlign w:val="bottom"/>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eastAsia="es-MX" w:bidi="hi-IN"/>
              </w:rPr>
              <w:t xml:space="preserve"> 31        </w:t>
            </w:r>
          </w:p>
        </w:tc>
      </w:tr>
      <w:tr w:rsidR="00C75954" w:rsidRPr="00772E03" w:rsidTr="00E337FE">
        <w:trPr>
          <w:trHeight w:val="397"/>
          <w:jc w:val="center"/>
        </w:trPr>
        <w:tc>
          <w:tcPr>
            <w:tcW w:w="8191" w:type="dxa"/>
            <w:gridSpan w:val="4"/>
            <w:tcBorders>
              <w:top w:val="nil"/>
              <w:left w:val="single" w:sz="8" w:space="0" w:color="000000"/>
              <w:bottom w:val="single" w:sz="8" w:space="0" w:color="000000"/>
              <w:right w:val="single" w:sz="8" w:space="0" w:color="000000"/>
            </w:tcBorders>
            <w:shd w:val="clear" w:color="auto" w:fill="auto"/>
            <w:noWrap/>
            <w:vAlign w:val="center"/>
            <w:hideMark/>
          </w:tcPr>
          <w:p w:rsidR="00C75954" w:rsidRPr="00772E03" w:rsidRDefault="00C75954" w:rsidP="00C75954">
            <w:pPr>
              <w:spacing w:after="0" w:line="240" w:lineRule="auto"/>
              <w:jc w:val="center"/>
              <w:rPr>
                <w:rFonts w:asciiTheme="minorHAnsi" w:eastAsia="Times New Roman" w:hAnsiTheme="minorHAnsi" w:cstheme="minorHAnsi"/>
                <w:sz w:val="14"/>
                <w:szCs w:val="14"/>
                <w:lang w:eastAsia="es-MX" w:bidi="hi-IN"/>
              </w:rPr>
            </w:pPr>
            <w:r w:rsidRPr="00772E03">
              <w:rPr>
                <w:rFonts w:asciiTheme="minorHAnsi" w:eastAsia="Times New Roman" w:hAnsiTheme="minorHAnsi" w:cstheme="minorHAnsi"/>
                <w:sz w:val="14"/>
                <w:szCs w:val="14"/>
                <w:lang w:val="es-ES" w:eastAsia="es-MX" w:bidi="hi-IN"/>
              </w:rPr>
              <w:t>Fuente: Índice de Marginación, CONAPO</w:t>
            </w:r>
          </w:p>
        </w:tc>
      </w:tr>
    </w:tbl>
    <w:p w:rsidR="00A42371" w:rsidRPr="00772E03" w:rsidRDefault="00A42371" w:rsidP="00C75954">
      <w:pPr>
        <w:jc w:val="center"/>
        <w:rPr>
          <w:rFonts w:asciiTheme="minorHAnsi" w:hAnsiTheme="minorHAnsi" w:cstheme="minorHAnsi"/>
          <w:sz w:val="24"/>
          <w:szCs w:val="24"/>
        </w:rPr>
      </w:pPr>
    </w:p>
    <w:p w:rsidR="00A42371" w:rsidRPr="00772E03" w:rsidRDefault="00A42371" w:rsidP="00F0261F">
      <w:pPr>
        <w:rPr>
          <w:rFonts w:asciiTheme="minorHAnsi" w:hAnsiTheme="minorHAnsi" w:cstheme="minorHAnsi"/>
          <w:sz w:val="24"/>
          <w:szCs w:val="24"/>
        </w:rPr>
      </w:pPr>
    </w:p>
    <w:tbl>
      <w:tblPr>
        <w:tblW w:w="8363" w:type="dxa"/>
        <w:jc w:val="center"/>
        <w:tblCellMar>
          <w:left w:w="70" w:type="dxa"/>
          <w:right w:w="70" w:type="dxa"/>
        </w:tblCellMar>
        <w:tblLook w:val="04A0"/>
      </w:tblPr>
      <w:tblGrid>
        <w:gridCol w:w="941"/>
        <w:gridCol w:w="3070"/>
        <w:gridCol w:w="2602"/>
        <w:gridCol w:w="862"/>
        <w:gridCol w:w="269"/>
        <w:gridCol w:w="619"/>
      </w:tblGrid>
      <w:tr w:rsidR="0014630D" w:rsidRPr="00772E03" w:rsidTr="00E337FE">
        <w:trPr>
          <w:trHeight w:val="466"/>
          <w:jc w:val="center"/>
        </w:trPr>
        <w:tc>
          <w:tcPr>
            <w:tcW w:w="8363" w:type="dxa"/>
            <w:gridSpan w:val="6"/>
            <w:tcBorders>
              <w:top w:val="single" w:sz="8" w:space="0" w:color="auto"/>
              <w:left w:val="single" w:sz="8" w:space="0" w:color="auto"/>
              <w:bottom w:val="single" w:sz="8" w:space="0" w:color="auto"/>
              <w:right w:val="single" w:sz="8" w:space="0" w:color="000000"/>
            </w:tcBorders>
            <w:shd w:val="clear" w:color="auto" w:fill="auto"/>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lastRenderedPageBreak/>
              <w:t>COATZACOALCOS. INGRESOS POR IMPUESTOS Y DERECHOS. 2009</w:t>
            </w:r>
          </w:p>
        </w:tc>
      </w:tr>
      <w:tr w:rsidR="0014630D" w:rsidRPr="00772E03" w:rsidTr="00E337FE">
        <w:trPr>
          <w:trHeight w:val="466"/>
          <w:jc w:val="center"/>
        </w:trPr>
        <w:tc>
          <w:tcPr>
            <w:tcW w:w="8363" w:type="dxa"/>
            <w:gridSpan w:val="6"/>
            <w:tcBorders>
              <w:top w:val="single" w:sz="8" w:space="0" w:color="auto"/>
              <w:left w:val="single" w:sz="8" w:space="0" w:color="auto"/>
              <w:bottom w:val="single" w:sz="8" w:space="0" w:color="auto"/>
              <w:right w:val="single" w:sz="8" w:space="0" w:color="000000"/>
            </w:tcBorders>
            <w:shd w:val="clear" w:color="auto" w:fill="auto"/>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 xml:space="preserve"> (pesos corrientes y estructura porcentual)</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 </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 IMPUESTOS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55,304,273</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Sobre loterías, rifas, sorteos y concursos;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0.00</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Sobre fraccionamientos.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0.00</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Sobre juegos permitidos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506,452</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0.92</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Sobre espectáculos públicos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60,836</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0.11</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Contribución adicional sobre ingresos municipales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6,081,062</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11.00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Sobre traslación de dominio de bienes inmuebles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16,222,496</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29.33</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Predial</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32,433,426</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58.65</w:t>
            </w:r>
          </w:p>
        </w:tc>
      </w:tr>
      <w:tr w:rsidR="0014630D" w:rsidRPr="00772E03" w:rsidTr="00E337FE">
        <w:trPr>
          <w:trHeight w:val="445"/>
          <w:jc w:val="center"/>
        </w:trPr>
        <w:tc>
          <w:tcPr>
            <w:tcW w:w="8363" w:type="dxa"/>
            <w:gridSpan w:val="6"/>
            <w:tcBorders>
              <w:top w:val="single" w:sz="4" w:space="0" w:color="auto"/>
              <w:left w:val="single" w:sz="8" w:space="0" w:color="auto"/>
              <w:bottom w:val="single" w:sz="4" w:space="0" w:color="auto"/>
              <w:right w:val="single" w:sz="8" w:space="0" w:color="000000"/>
            </w:tcBorders>
            <w:shd w:val="clear" w:color="auto" w:fill="auto"/>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 </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 DERECHOS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37178785</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w:t>
            </w:r>
          </w:p>
        </w:tc>
      </w:tr>
      <w:tr w:rsidR="0014630D" w:rsidRPr="00772E03" w:rsidTr="00E337FE">
        <w:trPr>
          <w:trHeight w:val="534"/>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servicios de recolección, transporte y disposición final de desechos sólidos;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688358</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1.85</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obras materiales;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9210851</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24.77</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ocupación de inmuebles del dominio público.</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698607</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1.88</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los servicios del Registro Civil y</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3737266</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10.05</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servicios de rastro o lugares autorizados;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38691</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0.10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expedición de certificados y constancias;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1556273</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4.19</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registro y refrendo anual de toda actividad económica;</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12185595</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32.78</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servicios prestados por la Tesorería;</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8566234</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23.04</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servicios de panteones;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496908</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1.34</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los servicios de agua potable y drenaje del municipio;</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r>
      <w:tr w:rsidR="0014630D" w:rsidRPr="00772E03" w:rsidTr="00E337FE">
        <w:trPr>
          <w:trHeight w:val="445"/>
          <w:jc w:val="center"/>
        </w:trPr>
        <w:tc>
          <w:tcPr>
            <w:tcW w:w="6613" w:type="dxa"/>
            <w:gridSpan w:val="3"/>
            <w:tcBorders>
              <w:top w:val="nil"/>
              <w:left w:val="single" w:sz="8" w:space="0" w:color="auto"/>
              <w:bottom w:val="single" w:sz="4"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limpieza de predios no edificados;</w:t>
            </w:r>
          </w:p>
        </w:tc>
        <w:tc>
          <w:tcPr>
            <w:tcW w:w="1131" w:type="dxa"/>
            <w:gridSpan w:val="2"/>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c>
          <w:tcPr>
            <w:tcW w:w="619" w:type="dxa"/>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r>
      <w:tr w:rsidR="0014630D" w:rsidRPr="00772E03" w:rsidTr="00E337FE">
        <w:trPr>
          <w:trHeight w:val="557"/>
          <w:jc w:val="center"/>
        </w:trPr>
        <w:tc>
          <w:tcPr>
            <w:tcW w:w="6613" w:type="dxa"/>
            <w:gridSpan w:val="3"/>
            <w:tcBorders>
              <w:top w:val="nil"/>
              <w:left w:val="single" w:sz="8" w:space="0" w:color="auto"/>
              <w:bottom w:val="single" w:sz="8" w:space="0" w:color="auto"/>
              <w:right w:val="single" w:sz="4" w:space="0" w:color="auto"/>
            </w:tcBorders>
            <w:shd w:val="clear" w:color="auto" w:fill="auto"/>
            <w:vAlign w:val="center"/>
            <w:hideMark/>
          </w:tcPr>
          <w:p w:rsidR="0014630D" w:rsidRPr="00772E03" w:rsidRDefault="0014630D" w:rsidP="0014630D">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Por la prestación de servicios de supervisión técnica sobre la explotación de bancos de material;</w:t>
            </w:r>
          </w:p>
        </w:tc>
        <w:tc>
          <w:tcPr>
            <w:tcW w:w="1131" w:type="dxa"/>
            <w:gridSpan w:val="2"/>
            <w:tcBorders>
              <w:top w:val="nil"/>
              <w:left w:val="nil"/>
              <w:bottom w:val="single" w:sz="8"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0</w:t>
            </w:r>
          </w:p>
        </w:tc>
        <w:tc>
          <w:tcPr>
            <w:tcW w:w="619" w:type="dxa"/>
            <w:tcBorders>
              <w:top w:val="nil"/>
              <w:left w:val="nil"/>
              <w:bottom w:val="single" w:sz="8"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0</w:t>
            </w:r>
          </w:p>
        </w:tc>
      </w:tr>
      <w:tr w:rsidR="0014630D" w:rsidRPr="00772E03" w:rsidTr="00E337FE">
        <w:trPr>
          <w:trHeight w:val="623"/>
          <w:jc w:val="center"/>
        </w:trPr>
        <w:tc>
          <w:tcPr>
            <w:tcW w:w="8363" w:type="dxa"/>
            <w:gridSpan w:val="6"/>
            <w:tcBorders>
              <w:top w:val="single" w:sz="8" w:space="0" w:color="auto"/>
              <w:left w:val="single" w:sz="8" w:space="0" w:color="auto"/>
              <w:bottom w:val="single" w:sz="8" w:space="0" w:color="auto"/>
              <w:right w:val="single" w:sz="8" w:space="0" w:color="000000"/>
            </w:tcBorders>
            <w:shd w:val="clear" w:color="auto" w:fill="auto"/>
            <w:vAlign w:val="center"/>
            <w:hideMark/>
          </w:tcPr>
          <w:p w:rsidR="0014630D" w:rsidRPr="00772E03" w:rsidRDefault="0014630D" w:rsidP="0014630D">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Fuente: Ley de ingresos municipal 2009</w:t>
            </w:r>
          </w:p>
        </w:tc>
      </w:tr>
      <w:tr w:rsidR="0014630D" w:rsidRPr="00772E03" w:rsidTr="00E337FE">
        <w:trPr>
          <w:gridAfter w:val="2"/>
          <w:wAfter w:w="888" w:type="dxa"/>
          <w:trHeight w:val="309"/>
          <w:jc w:val="center"/>
        </w:trPr>
        <w:tc>
          <w:tcPr>
            <w:tcW w:w="7475"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rsidR="0014630D" w:rsidRPr="00772E03" w:rsidRDefault="003526B7"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COATZACOALCOS</w:t>
            </w:r>
            <w:r w:rsidR="0014630D" w:rsidRPr="00772E03">
              <w:rPr>
                <w:rFonts w:asciiTheme="minorHAnsi" w:eastAsia="Times New Roman" w:hAnsiTheme="minorHAnsi" w:cstheme="minorHAnsi"/>
                <w:b/>
                <w:bCs/>
                <w:color w:val="000000"/>
                <w:sz w:val="14"/>
                <w:szCs w:val="14"/>
                <w:lang w:val="es-ES" w:eastAsia="es-MX" w:bidi="hi-IN"/>
              </w:rPr>
              <w:t>. INGRESOS PÚBLICOS MUNICIPALES 1990-2009 PARTICIPACIÓN PORCENTUAL Y TASA DE CRECIMIENTO ANUAL</w:t>
            </w:r>
          </w:p>
        </w:tc>
      </w:tr>
      <w:tr w:rsidR="0014630D" w:rsidRPr="00772E03" w:rsidTr="00E337FE">
        <w:trPr>
          <w:gridAfter w:val="2"/>
          <w:wAfter w:w="888" w:type="dxa"/>
          <w:trHeight w:val="271"/>
          <w:jc w:val="center"/>
        </w:trPr>
        <w:tc>
          <w:tcPr>
            <w:tcW w:w="7475" w:type="dxa"/>
            <w:gridSpan w:val="4"/>
            <w:tcBorders>
              <w:top w:val="single" w:sz="4" w:space="0" w:color="auto"/>
              <w:left w:val="single" w:sz="8" w:space="0" w:color="auto"/>
              <w:bottom w:val="single" w:sz="8" w:space="0" w:color="auto"/>
              <w:right w:val="single" w:sz="8" w:space="0" w:color="000000"/>
            </w:tcBorders>
            <w:shd w:val="clear" w:color="auto" w:fill="auto"/>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lastRenderedPageBreak/>
              <w:t>Participación Porcentual</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 </w:t>
            </w:r>
          </w:p>
        </w:tc>
        <w:tc>
          <w:tcPr>
            <w:tcW w:w="3070" w:type="dxa"/>
            <w:tcBorders>
              <w:top w:val="nil"/>
              <w:left w:val="nil"/>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Ingresos Propios</w:t>
            </w:r>
          </w:p>
        </w:tc>
        <w:tc>
          <w:tcPr>
            <w:tcW w:w="3464" w:type="dxa"/>
            <w:gridSpan w:val="2"/>
            <w:tcBorders>
              <w:top w:val="nil"/>
              <w:left w:val="nil"/>
              <w:bottom w:val="single" w:sz="4" w:space="0" w:color="auto"/>
              <w:right w:val="single" w:sz="8"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Ingresos Federales</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1990</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33.9</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63.8</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1991</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35.7</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64.3</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1992</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35.6</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62.9</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1993</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31.0</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66.2</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1994</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37.5</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62.5</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1995</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23.0</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69.1</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1996</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13.9</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72.9</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1997</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13.0</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60.4</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1998</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15.2</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76.8</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1999</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13.1</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64.1</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2000</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9.3</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78.2</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2001</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12.4</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69.8</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2002</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42.9</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47.6</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2003</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9.6</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65.7</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2004</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23.9</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65.4</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2005</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19.1</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75.9</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2006</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20.6</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77.8</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2007</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15.5</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84.0</w:t>
            </w:r>
          </w:p>
        </w:tc>
      </w:tr>
      <w:tr w:rsidR="0014630D" w:rsidRPr="00772E03" w:rsidTr="00E337FE">
        <w:trPr>
          <w:gridAfter w:val="2"/>
          <w:wAfter w:w="888" w:type="dxa"/>
          <w:trHeight w:val="258"/>
          <w:jc w:val="center"/>
        </w:trPr>
        <w:tc>
          <w:tcPr>
            <w:tcW w:w="941" w:type="dxa"/>
            <w:tcBorders>
              <w:top w:val="nil"/>
              <w:left w:val="single" w:sz="8" w:space="0" w:color="auto"/>
              <w:bottom w:val="single" w:sz="4" w:space="0" w:color="auto"/>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2008</w:t>
            </w:r>
          </w:p>
        </w:tc>
        <w:tc>
          <w:tcPr>
            <w:tcW w:w="3070" w:type="dxa"/>
            <w:tcBorders>
              <w:top w:val="nil"/>
              <w:left w:val="nil"/>
              <w:bottom w:val="single" w:sz="4" w:space="0" w:color="auto"/>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16.0</w:t>
            </w:r>
          </w:p>
        </w:tc>
        <w:tc>
          <w:tcPr>
            <w:tcW w:w="3464" w:type="dxa"/>
            <w:gridSpan w:val="2"/>
            <w:tcBorders>
              <w:top w:val="nil"/>
              <w:left w:val="nil"/>
              <w:bottom w:val="single" w:sz="4" w:space="0" w:color="auto"/>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84.0</w:t>
            </w:r>
          </w:p>
        </w:tc>
      </w:tr>
      <w:tr w:rsidR="0014630D" w:rsidRPr="00772E03" w:rsidTr="00E337FE">
        <w:trPr>
          <w:gridAfter w:val="2"/>
          <w:wAfter w:w="888" w:type="dxa"/>
          <w:trHeight w:val="271"/>
          <w:jc w:val="center"/>
        </w:trPr>
        <w:tc>
          <w:tcPr>
            <w:tcW w:w="941" w:type="dxa"/>
            <w:tcBorders>
              <w:top w:val="nil"/>
              <w:left w:val="single" w:sz="8" w:space="0" w:color="auto"/>
              <w:bottom w:val="nil"/>
              <w:right w:val="single" w:sz="4" w:space="0" w:color="auto"/>
            </w:tcBorders>
            <w:shd w:val="clear" w:color="auto" w:fill="auto"/>
            <w:noWrap/>
            <w:vAlign w:val="center"/>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2009</w:t>
            </w:r>
          </w:p>
        </w:tc>
        <w:tc>
          <w:tcPr>
            <w:tcW w:w="3070" w:type="dxa"/>
            <w:tcBorders>
              <w:top w:val="nil"/>
              <w:left w:val="nil"/>
              <w:bottom w:val="nil"/>
              <w:right w:val="single" w:sz="4"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16.6</w:t>
            </w:r>
          </w:p>
        </w:tc>
        <w:tc>
          <w:tcPr>
            <w:tcW w:w="3464" w:type="dxa"/>
            <w:gridSpan w:val="2"/>
            <w:tcBorders>
              <w:top w:val="nil"/>
              <w:left w:val="nil"/>
              <w:bottom w:val="nil"/>
              <w:right w:val="single" w:sz="8" w:space="0" w:color="auto"/>
            </w:tcBorders>
            <w:shd w:val="clear" w:color="auto" w:fill="auto"/>
            <w:noWrap/>
            <w:vAlign w:val="bottom"/>
            <w:hideMark/>
          </w:tcPr>
          <w:p w:rsidR="0014630D" w:rsidRPr="00772E03" w:rsidRDefault="0014630D" w:rsidP="0014630D">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eastAsia="es-MX" w:bidi="hi-IN"/>
              </w:rPr>
              <w:t>83.4</w:t>
            </w:r>
          </w:p>
        </w:tc>
      </w:tr>
      <w:tr w:rsidR="0014630D" w:rsidRPr="00772E03" w:rsidTr="00E337FE">
        <w:trPr>
          <w:gridAfter w:val="2"/>
          <w:wAfter w:w="888" w:type="dxa"/>
          <w:trHeight w:val="271"/>
          <w:jc w:val="center"/>
        </w:trPr>
        <w:tc>
          <w:tcPr>
            <w:tcW w:w="7475"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14630D" w:rsidRPr="00772E03" w:rsidRDefault="0014630D"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Fuente: Elaborado con datos de INEGI y Ley de Ingresos Municipales 2009</w:t>
            </w:r>
          </w:p>
        </w:tc>
      </w:tr>
    </w:tbl>
    <w:p w:rsidR="0014630D" w:rsidRPr="00772E03" w:rsidRDefault="0014630D" w:rsidP="00E337FE">
      <w:pPr>
        <w:jc w:val="center"/>
        <w:rPr>
          <w:rFonts w:asciiTheme="minorHAnsi" w:hAnsiTheme="minorHAnsi" w:cstheme="minorHAnsi"/>
          <w:sz w:val="24"/>
          <w:szCs w:val="24"/>
        </w:rPr>
      </w:pPr>
    </w:p>
    <w:tbl>
      <w:tblPr>
        <w:tblW w:w="8725" w:type="dxa"/>
        <w:jc w:val="center"/>
        <w:tblInd w:w="60" w:type="dxa"/>
        <w:tblCellMar>
          <w:left w:w="70" w:type="dxa"/>
          <w:right w:w="70" w:type="dxa"/>
        </w:tblCellMar>
        <w:tblLook w:val="04A0"/>
      </w:tblPr>
      <w:tblGrid>
        <w:gridCol w:w="539"/>
        <w:gridCol w:w="1477"/>
        <w:gridCol w:w="1537"/>
        <w:gridCol w:w="1079"/>
        <w:gridCol w:w="1079"/>
        <w:gridCol w:w="1477"/>
        <w:gridCol w:w="1537"/>
      </w:tblGrid>
      <w:tr w:rsidR="003526B7" w:rsidRPr="00772E03" w:rsidTr="00C32077">
        <w:trPr>
          <w:trHeight w:val="457"/>
          <w:jc w:val="center"/>
        </w:trPr>
        <w:tc>
          <w:tcPr>
            <w:tcW w:w="8725" w:type="dxa"/>
            <w:gridSpan w:val="7"/>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COATZACOALCOS. GASTO PÚBLICO MUNICIPAL. CLASIFICACIÓN ECONÓMICA 1990-2005</w:t>
            </w:r>
          </w:p>
        </w:tc>
      </w:tr>
      <w:tr w:rsidR="003526B7" w:rsidRPr="00772E03" w:rsidTr="00C32077">
        <w:trPr>
          <w:trHeight w:val="234"/>
          <w:jc w:val="center"/>
        </w:trPr>
        <w:tc>
          <w:tcPr>
            <w:tcW w:w="539" w:type="dxa"/>
            <w:vMerge w:val="restart"/>
            <w:tcBorders>
              <w:top w:val="nil"/>
              <w:left w:val="single" w:sz="8" w:space="0" w:color="000000"/>
              <w:bottom w:val="single" w:sz="8" w:space="0" w:color="000000"/>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Año</w:t>
            </w:r>
          </w:p>
        </w:tc>
        <w:tc>
          <w:tcPr>
            <w:tcW w:w="4093" w:type="dxa"/>
            <w:gridSpan w:val="3"/>
            <w:tcBorders>
              <w:top w:val="single" w:sz="8" w:space="0" w:color="000000"/>
              <w:left w:val="nil"/>
              <w:bottom w:val="single" w:sz="8" w:space="0" w:color="000000"/>
              <w:right w:val="single" w:sz="8" w:space="0" w:color="000000"/>
            </w:tcBorders>
            <w:shd w:val="clear" w:color="auto" w:fill="auto"/>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Participación porcentual por tipo de gasto</w:t>
            </w:r>
          </w:p>
        </w:tc>
        <w:tc>
          <w:tcPr>
            <w:tcW w:w="4093" w:type="dxa"/>
            <w:gridSpan w:val="3"/>
            <w:tcBorders>
              <w:top w:val="single" w:sz="8" w:space="0" w:color="000000"/>
              <w:left w:val="nil"/>
              <w:bottom w:val="single" w:sz="8" w:space="0" w:color="000000"/>
              <w:right w:val="single" w:sz="8" w:space="0" w:color="000000"/>
            </w:tcBorders>
            <w:shd w:val="clear" w:color="auto" w:fill="auto"/>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Índice de crecimiento del Gasto Público Municipal</w:t>
            </w:r>
          </w:p>
        </w:tc>
      </w:tr>
      <w:tr w:rsidR="003526B7" w:rsidRPr="00772E03" w:rsidTr="00C32077">
        <w:trPr>
          <w:trHeight w:val="234"/>
          <w:jc w:val="center"/>
        </w:trPr>
        <w:tc>
          <w:tcPr>
            <w:tcW w:w="539" w:type="dxa"/>
            <w:vMerge/>
            <w:tcBorders>
              <w:top w:val="nil"/>
              <w:left w:val="single" w:sz="8" w:space="0" w:color="000000"/>
              <w:bottom w:val="single" w:sz="8" w:space="0" w:color="000000"/>
              <w:right w:val="single" w:sz="8" w:space="0" w:color="000000"/>
            </w:tcBorders>
            <w:vAlign w:val="center"/>
            <w:hideMark/>
          </w:tcPr>
          <w:p w:rsidR="003526B7" w:rsidRPr="00772E03" w:rsidRDefault="003526B7" w:rsidP="003526B7">
            <w:pPr>
              <w:spacing w:after="0" w:line="240" w:lineRule="auto"/>
              <w:rPr>
                <w:rFonts w:asciiTheme="minorHAnsi" w:eastAsia="Times New Roman" w:hAnsiTheme="minorHAnsi" w:cstheme="minorHAnsi"/>
                <w:b/>
                <w:bCs/>
                <w:color w:val="000000"/>
                <w:sz w:val="14"/>
                <w:szCs w:val="14"/>
                <w:lang w:eastAsia="es-MX" w:bidi="hi-IN"/>
              </w:rPr>
            </w:pPr>
          </w:p>
        </w:tc>
        <w:tc>
          <w:tcPr>
            <w:tcW w:w="1477"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Corriente</w:t>
            </w:r>
          </w:p>
        </w:tc>
        <w:tc>
          <w:tcPr>
            <w:tcW w:w="1537"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de Capital</w:t>
            </w:r>
          </w:p>
        </w:tc>
        <w:tc>
          <w:tcPr>
            <w:tcW w:w="1079"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Total</w:t>
            </w:r>
          </w:p>
        </w:tc>
        <w:tc>
          <w:tcPr>
            <w:tcW w:w="1079"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Total</w:t>
            </w:r>
          </w:p>
        </w:tc>
        <w:tc>
          <w:tcPr>
            <w:tcW w:w="1477"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Corriente</w:t>
            </w:r>
          </w:p>
        </w:tc>
        <w:tc>
          <w:tcPr>
            <w:tcW w:w="1537" w:type="dxa"/>
            <w:tcBorders>
              <w:top w:val="nil"/>
              <w:left w:val="nil"/>
              <w:bottom w:val="nil"/>
              <w:right w:val="single" w:sz="8" w:space="0" w:color="000000"/>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Gasto de Capital</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1990</w:t>
            </w:r>
          </w:p>
        </w:tc>
        <w:tc>
          <w:tcPr>
            <w:tcW w:w="1477" w:type="dxa"/>
            <w:tcBorders>
              <w:top w:val="single" w:sz="8" w:space="0" w:color="auto"/>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36.0</w:t>
            </w:r>
          </w:p>
        </w:tc>
        <w:tc>
          <w:tcPr>
            <w:tcW w:w="1537" w:type="dxa"/>
            <w:tcBorders>
              <w:top w:val="single" w:sz="8" w:space="0" w:color="auto"/>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64.0</w:t>
            </w:r>
          </w:p>
        </w:tc>
        <w:tc>
          <w:tcPr>
            <w:tcW w:w="1079" w:type="dxa"/>
            <w:tcBorders>
              <w:top w:val="single" w:sz="8" w:space="0" w:color="auto"/>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single" w:sz="8" w:space="0" w:color="auto"/>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w:t>
            </w:r>
          </w:p>
        </w:tc>
        <w:tc>
          <w:tcPr>
            <w:tcW w:w="1477" w:type="dxa"/>
            <w:tcBorders>
              <w:top w:val="single" w:sz="8" w:space="0" w:color="auto"/>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w:t>
            </w:r>
          </w:p>
        </w:tc>
        <w:tc>
          <w:tcPr>
            <w:tcW w:w="1537" w:type="dxa"/>
            <w:tcBorders>
              <w:top w:val="single" w:sz="8" w:space="0" w:color="auto"/>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1991</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31.0</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67.4</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100</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87</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107</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1992</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27.9</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72.1</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107</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83</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120</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1993</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75.4</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24.6</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126</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264</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48</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1994</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85.4</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6.6</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145</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185</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122</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1995</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73.9</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48.4</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187</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315</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116</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1996</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60.5</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39.5</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141</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237</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87</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1997</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68.3</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27.5</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171</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338</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77</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1998</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92.7</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6.8</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143</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371</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15</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1999</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92.8</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6.8</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176</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454</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19</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2000</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60.7</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26.7</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208</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402</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99</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2001</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58.5</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24.8</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219</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428</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102</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2002</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48.7</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42.6</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337</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499</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246</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2003</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41.4</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58.6</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354</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407</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325</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2004</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52.6</w:t>
            </w:r>
          </w:p>
        </w:tc>
        <w:tc>
          <w:tcPr>
            <w:tcW w:w="153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35.9</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295</w:t>
            </w:r>
          </w:p>
        </w:tc>
        <w:tc>
          <w:tcPr>
            <w:tcW w:w="1477" w:type="dxa"/>
            <w:tcBorders>
              <w:top w:val="nil"/>
              <w:left w:val="nil"/>
              <w:bottom w:val="single" w:sz="4"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487</w:t>
            </w:r>
          </w:p>
        </w:tc>
        <w:tc>
          <w:tcPr>
            <w:tcW w:w="1537" w:type="dxa"/>
            <w:tcBorders>
              <w:top w:val="nil"/>
              <w:left w:val="nil"/>
              <w:bottom w:val="single" w:sz="4"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187</w:t>
            </w:r>
          </w:p>
        </w:tc>
      </w:tr>
      <w:tr w:rsidR="003526B7" w:rsidRPr="00772E03" w:rsidTr="00C32077">
        <w:trPr>
          <w:trHeight w:val="234"/>
          <w:jc w:val="center"/>
        </w:trPr>
        <w:tc>
          <w:tcPr>
            <w:tcW w:w="539" w:type="dxa"/>
            <w:tcBorders>
              <w:top w:val="nil"/>
              <w:left w:val="single" w:sz="8" w:space="0" w:color="auto"/>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b/>
                <w:bCs/>
                <w:color w:val="000000"/>
                <w:sz w:val="14"/>
                <w:szCs w:val="14"/>
                <w:lang w:eastAsia="es-MX" w:bidi="hi-IN"/>
              </w:rPr>
            </w:pPr>
            <w:r w:rsidRPr="00772E03">
              <w:rPr>
                <w:rFonts w:asciiTheme="minorHAnsi" w:eastAsia="Times New Roman" w:hAnsiTheme="minorHAnsi" w:cstheme="minorHAnsi"/>
                <w:b/>
                <w:bCs/>
                <w:color w:val="000000"/>
                <w:sz w:val="14"/>
                <w:szCs w:val="14"/>
                <w:lang w:val="es-ES" w:eastAsia="es-MX" w:bidi="hi-IN"/>
              </w:rPr>
              <w:t>2005</w:t>
            </w:r>
          </w:p>
        </w:tc>
        <w:tc>
          <w:tcPr>
            <w:tcW w:w="1477" w:type="dxa"/>
            <w:tcBorders>
              <w:top w:val="nil"/>
              <w:left w:val="nil"/>
              <w:bottom w:val="single" w:sz="8"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55.7</w:t>
            </w:r>
          </w:p>
        </w:tc>
        <w:tc>
          <w:tcPr>
            <w:tcW w:w="1537" w:type="dxa"/>
            <w:tcBorders>
              <w:top w:val="nil"/>
              <w:left w:val="nil"/>
              <w:bottom w:val="single" w:sz="8"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42.1</w:t>
            </w:r>
          </w:p>
        </w:tc>
        <w:tc>
          <w:tcPr>
            <w:tcW w:w="1079" w:type="dxa"/>
            <w:tcBorders>
              <w:top w:val="nil"/>
              <w:left w:val="nil"/>
              <w:bottom w:val="single" w:sz="8"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100%</w:t>
            </w:r>
          </w:p>
        </w:tc>
        <w:tc>
          <w:tcPr>
            <w:tcW w:w="1079" w:type="dxa"/>
            <w:tcBorders>
              <w:top w:val="nil"/>
              <w:left w:val="nil"/>
              <w:bottom w:val="single" w:sz="8"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293</w:t>
            </w:r>
          </w:p>
        </w:tc>
        <w:tc>
          <w:tcPr>
            <w:tcW w:w="1477" w:type="dxa"/>
            <w:tcBorders>
              <w:top w:val="nil"/>
              <w:left w:val="nil"/>
              <w:bottom w:val="single" w:sz="8" w:space="0" w:color="auto"/>
              <w:right w:val="single" w:sz="4"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464</w:t>
            </w:r>
          </w:p>
        </w:tc>
        <w:tc>
          <w:tcPr>
            <w:tcW w:w="1537" w:type="dxa"/>
            <w:tcBorders>
              <w:top w:val="nil"/>
              <w:left w:val="nil"/>
              <w:bottom w:val="single" w:sz="8" w:space="0" w:color="auto"/>
              <w:right w:val="single" w:sz="8" w:space="0" w:color="auto"/>
            </w:tcBorders>
            <w:shd w:val="clear" w:color="auto" w:fill="auto"/>
            <w:noWrap/>
            <w:vAlign w:val="center"/>
            <w:hideMark/>
          </w:tcPr>
          <w:p w:rsidR="003526B7" w:rsidRPr="00772E03" w:rsidRDefault="003526B7" w:rsidP="003526B7">
            <w:pPr>
              <w:spacing w:after="0" w:line="240" w:lineRule="auto"/>
              <w:jc w:val="center"/>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eastAsia="es-MX" w:bidi="hi-IN"/>
              </w:rPr>
              <w:t>197</w:t>
            </w:r>
          </w:p>
        </w:tc>
      </w:tr>
      <w:tr w:rsidR="003526B7" w:rsidRPr="00772E03" w:rsidTr="00C32077">
        <w:trPr>
          <w:trHeight w:val="234"/>
          <w:jc w:val="center"/>
        </w:trPr>
        <w:tc>
          <w:tcPr>
            <w:tcW w:w="8725"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3526B7" w:rsidRPr="00772E03" w:rsidRDefault="003526B7" w:rsidP="003526B7">
            <w:pPr>
              <w:spacing w:after="0" w:line="240" w:lineRule="auto"/>
              <w:rPr>
                <w:rFonts w:asciiTheme="minorHAnsi" w:eastAsia="Times New Roman" w:hAnsiTheme="minorHAnsi" w:cstheme="minorHAnsi"/>
                <w:color w:val="000000"/>
                <w:sz w:val="14"/>
                <w:szCs w:val="14"/>
                <w:lang w:eastAsia="es-MX" w:bidi="hi-IN"/>
              </w:rPr>
            </w:pPr>
            <w:r w:rsidRPr="00772E03">
              <w:rPr>
                <w:rFonts w:asciiTheme="minorHAnsi" w:eastAsia="Times New Roman" w:hAnsiTheme="minorHAnsi" w:cstheme="minorHAnsi"/>
                <w:color w:val="000000"/>
                <w:sz w:val="14"/>
                <w:szCs w:val="14"/>
                <w:lang w:val="es-ES" w:eastAsia="es-MX" w:bidi="hi-IN"/>
              </w:rPr>
              <w:t>Fuente: Elaborado con datos de INEGI, Cuentas Públicas Municipales de cada año</w:t>
            </w:r>
          </w:p>
        </w:tc>
      </w:tr>
    </w:tbl>
    <w:p w:rsidR="005B4DA1" w:rsidRPr="00772E03" w:rsidRDefault="00AA0744" w:rsidP="00A4075F">
      <w:pPr>
        <w:jc w:val="center"/>
        <w:rPr>
          <w:rFonts w:asciiTheme="minorHAnsi" w:hAnsiTheme="minorHAnsi" w:cstheme="minorHAnsi"/>
          <w:sz w:val="24"/>
          <w:szCs w:val="24"/>
        </w:rPr>
      </w:pPr>
      <w:r w:rsidRPr="00772E03">
        <w:rPr>
          <w:rFonts w:asciiTheme="minorHAnsi" w:hAnsiTheme="minorHAnsi" w:cstheme="minorHAnsi"/>
          <w:noProof/>
          <w:szCs w:val="24"/>
          <w:lang w:eastAsia="es-MX"/>
        </w:rPr>
        <w:lastRenderedPageBreak/>
        <w:drawing>
          <wp:inline distT="0" distB="0" distL="0" distR="0">
            <wp:extent cx="5317568" cy="3664858"/>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cstate="print"/>
                    <a:srcRect/>
                    <a:stretch>
                      <a:fillRect/>
                    </a:stretch>
                  </pic:blipFill>
                  <pic:spPr bwMode="auto">
                    <a:xfrm>
                      <a:off x="0" y="0"/>
                      <a:ext cx="5325775" cy="3670514"/>
                    </a:xfrm>
                    <a:prstGeom prst="rect">
                      <a:avLst/>
                    </a:prstGeom>
                    <a:noFill/>
                    <a:ln w="9525">
                      <a:noFill/>
                      <a:miter lim="800000"/>
                      <a:headEnd/>
                      <a:tailEnd/>
                    </a:ln>
                  </pic:spPr>
                </pic:pic>
              </a:graphicData>
            </a:graphic>
          </wp:inline>
        </w:drawing>
      </w:r>
    </w:p>
    <w:p w:rsidR="003526B7" w:rsidRPr="00772E03" w:rsidRDefault="003526B7" w:rsidP="005B4DA1">
      <w:pPr>
        <w:rPr>
          <w:rFonts w:asciiTheme="minorHAnsi" w:hAnsiTheme="minorHAnsi" w:cstheme="minorHAnsi"/>
          <w:sz w:val="24"/>
          <w:szCs w:val="24"/>
        </w:rPr>
      </w:pPr>
    </w:p>
    <w:p w:rsidR="005B4DA1" w:rsidRPr="00772E03" w:rsidRDefault="005B4DA1" w:rsidP="00C52FE0">
      <w:pPr>
        <w:tabs>
          <w:tab w:val="left" w:pos="3750"/>
        </w:tabs>
        <w:spacing w:line="360" w:lineRule="auto"/>
        <w:rPr>
          <w:rFonts w:asciiTheme="minorHAnsi" w:hAnsiTheme="minorHAnsi" w:cstheme="minorHAnsi"/>
          <w:sz w:val="24"/>
          <w:szCs w:val="24"/>
        </w:rPr>
      </w:pPr>
      <w:r w:rsidRPr="00772E03">
        <w:rPr>
          <w:rFonts w:asciiTheme="minorHAnsi" w:hAnsiTheme="minorHAnsi" w:cstheme="minorHAnsi"/>
          <w:noProof/>
          <w:szCs w:val="24"/>
          <w:lang w:eastAsia="es-MX"/>
        </w:rPr>
        <w:drawing>
          <wp:inline distT="0" distB="0" distL="0" distR="0">
            <wp:extent cx="5335779" cy="3816000"/>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cstate="print"/>
                    <a:srcRect/>
                    <a:stretch>
                      <a:fillRect/>
                    </a:stretch>
                  </pic:blipFill>
                  <pic:spPr bwMode="auto">
                    <a:xfrm>
                      <a:off x="0" y="0"/>
                      <a:ext cx="5335444" cy="3815761"/>
                    </a:xfrm>
                    <a:prstGeom prst="rect">
                      <a:avLst/>
                    </a:prstGeom>
                    <a:noFill/>
                    <a:ln w="9525">
                      <a:noFill/>
                      <a:miter lim="800000"/>
                      <a:headEnd/>
                      <a:tailEnd/>
                    </a:ln>
                  </pic:spPr>
                </pic:pic>
              </a:graphicData>
            </a:graphic>
          </wp:inline>
        </w:drawing>
      </w:r>
    </w:p>
    <w:p w:rsidR="00C52FE0" w:rsidRPr="00772E03" w:rsidRDefault="00C52FE0" w:rsidP="00C52FE0">
      <w:pPr>
        <w:tabs>
          <w:tab w:val="left" w:pos="3750"/>
        </w:tabs>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lastRenderedPageBreak/>
        <w:t>Índice de Gráficas</w:t>
      </w:r>
    </w:p>
    <w:p w:rsidR="00C52FE0" w:rsidRPr="00772E03" w:rsidRDefault="00C52FE0" w:rsidP="00C52FE0">
      <w:pPr>
        <w:tabs>
          <w:tab w:val="left" w:pos="3750"/>
        </w:tabs>
        <w:spacing w:line="360" w:lineRule="auto"/>
        <w:rPr>
          <w:rFonts w:asciiTheme="minorHAnsi" w:eastAsia="Arial Unicode MS" w:hAnsiTheme="minorHAnsi" w:cstheme="minorHAnsi"/>
          <w:b/>
          <w:sz w:val="20"/>
          <w:szCs w:val="20"/>
        </w:rPr>
      </w:pPr>
    </w:p>
    <w:tbl>
      <w:tblPr>
        <w:tblW w:w="891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8344"/>
        <w:gridCol w:w="575"/>
      </w:tblGrid>
      <w:tr w:rsidR="00C52FE0" w:rsidRPr="00772E03" w:rsidTr="002F3124">
        <w:trPr>
          <w:trHeight w:val="40"/>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 xml:space="preserve">CAPITULO I. Factores Demográficos </w:t>
            </w:r>
          </w:p>
        </w:tc>
        <w:tc>
          <w:tcPr>
            <w:tcW w:w="575" w:type="dxa"/>
          </w:tcPr>
          <w:p w:rsidR="00C52FE0" w:rsidRPr="00772E03" w:rsidRDefault="00C52FE0" w:rsidP="002F3124">
            <w:pPr>
              <w:spacing w:line="360" w:lineRule="auto"/>
              <w:rPr>
                <w:rFonts w:asciiTheme="minorHAnsi" w:eastAsia="Arial Unicode MS" w:hAnsiTheme="minorHAnsi" w:cstheme="minorHAnsi"/>
                <w:b/>
                <w:sz w:val="20"/>
                <w:szCs w:val="20"/>
              </w:rPr>
            </w:pP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 xml:space="preserve">El crecimiento demográfico </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Población total (1970-2005)………………………………………………………………………….</w:t>
            </w:r>
          </w:p>
        </w:tc>
        <w:tc>
          <w:tcPr>
            <w:tcW w:w="575" w:type="dxa"/>
          </w:tcPr>
          <w:p w:rsidR="00C52FE0" w:rsidRPr="00772E03" w:rsidRDefault="00C52FE0" w:rsidP="002F3124">
            <w:pPr>
              <w:spacing w:line="360" w:lineRule="auto"/>
              <w:rPr>
                <w:rFonts w:asciiTheme="minorHAnsi" w:hAnsiTheme="minorHAnsi" w:cstheme="minorHAnsi"/>
                <w:sz w:val="20"/>
                <w:szCs w:val="20"/>
              </w:rPr>
            </w:pPr>
            <w:r w:rsidRPr="00772E03">
              <w:rPr>
                <w:rFonts w:asciiTheme="minorHAnsi" w:hAnsiTheme="minorHAnsi" w:cstheme="minorHAnsi"/>
                <w:sz w:val="20"/>
                <w:szCs w:val="20"/>
              </w:rPr>
              <w:t>12</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Tasa media anual de crecimiento (1970-2005)……………………………………………………</w:t>
            </w:r>
          </w:p>
        </w:tc>
        <w:tc>
          <w:tcPr>
            <w:tcW w:w="575" w:type="dxa"/>
          </w:tcPr>
          <w:p w:rsidR="00C52FE0" w:rsidRPr="00772E03" w:rsidRDefault="00C52FE0" w:rsidP="002F3124">
            <w:pPr>
              <w:spacing w:line="360" w:lineRule="auto"/>
              <w:rPr>
                <w:rFonts w:asciiTheme="minorHAnsi" w:hAnsiTheme="minorHAnsi" w:cstheme="minorHAnsi"/>
                <w:sz w:val="20"/>
                <w:szCs w:val="20"/>
              </w:rPr>
            </w:pPr>
            <w:r w:rsidRPr="00772E03">
              <w:rPr>
                <w:rFonts w:asciiTheme="minorHAnsi" w:hAnsiTheme="minorHAnsi" w:cstheme="minorHAnsi"/>
                <w:sz w:val="20"/>
                <w:szCs w:val="20"/>
              </w:rPr>
              <w:t>13</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Crecimiento de la población por periodo intercensal (1970-2005)………………………………</w:t>
            </w:r>
          </w:p>
        </w:tc>
        <w:tc>
          <w:tcPr>
            <w:tcW w:w="575" w:type="dxa"/>
          </w:tcPr>
          <w:p w:rsidR="00C52FE0" w:rsidRPr="00772E03" w:rsidRDefault="00C52FE0" w:rsidP="002F3124">
            <w:pPr>
              <w:spacing w:line="360" w:lineRule="auto"/>
              <w:rPr>
                <w:rFonts w:asciiTheme="minorHAnsi" w:hAnsiTheme="minorHAnsi" w:cstheme="minorHAnsi"/>
                <w:sz w:val="20"/>
                <w:szCs w:val="20"/>
              </w:rPr>
            </w:pPr>
            <w:r w:rsidRPr="00772E03">
              <w:rPr>
                <w:rFonts w:asciiTheme="minorHAnsi" w:hAnsiTheme="minorHAnsi" w:cstheme="minorHAnsi"/>
                <w:sz w:val="20"/>
                <w:szCs w:val="20"/>
              </w:rPr>
              <w:t>14</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Población por sexo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Población por sexo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15</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Estructura de la población por edades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Estructura de la población por  edades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16</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Habitantes de los municipios con mayor………………………………….……………………….</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17</w:t>
            </w:r>
          </w:p>
        </w:tc>
      </w:tr>
      <w:tr w:rsidR="00C52FE0" w:rsidRPr="00772E03" w:rsidTr="002F3124">
        <w:trPr>
          <w:trHeight w:val="213"/>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Estructura de la población por edades 2005 (%)………………………………………………….</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18</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Edades y género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Población por rango de edad y sexo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19</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Población por sexo y grandes rangos de edad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20</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 xml:space="preserve">Jefes de familia en los hogares </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Proporción de los hogares por tipo de jefatura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21</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Proporción de la población en hogares por tipo de jefatura……………………………………...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21</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Bono demográfico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Participación de la población inactiva en el total (2000-2030)……………….…………………..</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22</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Tasa de dependencia económica y bono demográfico (2000- 2030)…………………….……..</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23</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b/>
                <w:bCs/>
                <w:iCs/>
                <w:sz w:val="20"/>
                <w:szCs w:val="20"/>
              </w:rPr>
            </w:pPr>
            <w:r w:rsidRPr="00772E03">
              <w:rPr>
                <w:rFonts w:asciiTheme="minorHAnsi" w:hAnsiTheme="minorHAnsi" w:cstheme="minorHAnsi"/>
                <w:b/>
                <w:bCs/>
                <w:iCs/>
                <w:sz w:val="20"/>
                <w:szCs w:val="20"/>
              </w:rPr>
              <w:lastRenderedPageBreak/>
              <w:t>Servicios públicos y bienes privados en la vivienda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Servicios públicos en la vivienda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24</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Bienes privados en la vivienda2005………………………………………………………………...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24</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Indicadores de marginación</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Indicadores de marginación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26</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Indicadores de marginación (2000-2005)…………………………………………………………..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27</w:t>
            </w:r>
          </w:p>
        </w:tc>
      </w:tr>
      <w:tr w:rsidR="00C52FE0" w:rsidRPr="00772E03" w:rsidTr="002F3124">
        <w:tblPrEx>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Ex>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Índice de marginación por localidades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blPrEx>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Ex>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Grado de marginación de sus localidades…………………………………………………………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28</w:t>
            </w:r>
          </w:p>
        </w:tc>
      </w:tr>
      <w:tr w:rsidR="00C52FE0" w:rsidRPr="00772E03" w:rsidTr="002F3124">
        <w:tblPrEx>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Ex>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Condición de marginación de su población………………………………………………………..</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29</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Índice de rezago social y brechas de pobreza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Indicadores de pobreza CONEVAL 2005 (Recuadro)…………………………………………….</w:t>
            </w:r>
          </w:p>
          <w:p w:rsidR="00C52FE0" w:rsidRPr="00772E03" w:rsidRDefault="00C52FE0" w:rsidP="002F3124">
            <w:pPr>
              <w:rPr>
                <w:rFonts w:asciiTheme="minorHAnsi" w:hAnsiTheme="minorHAnsi" w:cstheme="minorHAnsi"/>
                <w:sz w:val="20"/>
                <w:szCs w:val="20"/>
              </w:rPr>
            </w:pPr>
            <w:r w:rsidRPr="00772E03">
              <w:rPr>
                <w:rFonts w:asciiTheme="minorHAnsi" w:hAnsiTheme="minorHAnsi" w:cstheme="minorHAnsi"/>
                <w:sz w:val="20"/>
                <w:szCs w:val="20"/>
              </w:rPr>
              <w:t>Dimensión socio-demográfica (2000-2005)………………………………………………………..</w:t>
            </w:r>
          </w:p>
          <w:p w:rsidR="00C52FE0" w:rsidRPr="00772E03" w:rsidRDefault="00C52FE0" w:rsidP="002F3124">
            <w:pPr>
              <w:rPr>
                <w:rFonts w:asciiTheme="minorHAnsi" w:hAnsiTheme="minorHAnsi" w:cstheme="minorHAnsi"/>
                <w:sz w:val="20"/>
                <w:szCs w:val="20"/>
              </w:rPr>
            </w:pPr>
            <w:r w:rsidRPr="00772E03">
              <w:rPr>
                <w:rFonts w:asciiTheme="minorHAnsi" w:hAnsiTheme="minorHAnsi" w:cstheme="minorHAnsi"/>
                <w:sz w:val="20"/>
                <w:szCs w:val="20"/>
              </w:rPr>
              <w:t>Balance de indicadores de marginación (2000-2005)…………………………………………….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30</w:t>
            </w:r>
          </w:p>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31</w:t>
            </w:r>
          </w:p>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32</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Indicadores de pobreza de Ingreso…………………………………………………………………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33</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Educación y género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Municipios con mayor grado promedio de escolaridad…………………………………………...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33</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Indicadores de educación por sexo…………………………………………………………………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34</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El desarrollo humano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Índice de desarrollo humano…………………………………………………………………………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35</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Infraestructura educativa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Número de escuelas por nivel educativo…………………………………………………………...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36</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Alumnos por nivel educativo…………………………………………………………………………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36</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lastRenderedPageBreak/>
              <w:t>Población por localidades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sz w:val="20"/>
                <w:szCs w:val="20"/>
              </w:rPr>
            </w:pPr>
            <w:r w:rsidRPr="00772E03">
              <w:rPr>
                <w:rFonts w:asciiTheme="minorHAnsi" w:hAnsiTheme="minorHAnsi" w:cstheme="minorHAnsi"/>
                <w:i/>
                <w:sz w:val="20"/>
                <w:szCs w:val="20"/>
              </w:rPr>
              <w:t>Habitantes en principales localidades</w:t>
            </w:r>
            <w:r w:rsidRPr="00772E03">
              <w:rPr>
                <w:rFonts w:asciiTheme="minorHAnsi" w:hAnsiTheme="minorHAnsi" w:cstheme="minorHAnsi"/>
                <w:sz w:val="20"/>
                <w:szCs w:val="20"/>
              </w:rPr>
              <w:t>………………………………………………………………</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37</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Salud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Indicadores de salud………………………………………………………………………………….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38</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Población según condición de derechohabiencia…………………………………………………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39</w:t>
            </w: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Población con derechohabiencia a servicios de salud por institución…………………………..</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39</w:t>
            </w:r>
          </w:p>
        </w:tc>
      </w:tr>
      <w:tr w:rsidR="00C52FE0" w:rsidRPr="00772E03" w:rsidTr="002F3124">
        <w:trPr>
          <w:trHeight w:val="15"/>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Apoyos sociales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Monto de los recursos del programa oportunidades………………………………………………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40</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Migración</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Migración a Estados Unidos…………………………………………………………………………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41</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p>
          <w:p w:rsidR="00C52FE0" w:rsidRPr="00772E03" w:rsidRDefault="00C52FE0" w:rsidP="002F3124">
            <w:pPr>
              <w:spacing w:line="360" w:lineRule="auto"/>
              <w:rPr>
                <w:rFonts w:asciiTheme="minorHAnsi" w:eastAsia="Arial Unicode MS" w:hAnsiTheme="minorHAnsi" w:cstheme="minorHAnsi"/>
                <w:b/>
                <w:sz w:val="20"/>
                <w:szCs w:val="20"/>
              </w:rPr>
            </w:pP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CAPITULO  II. La economía municipal</w:t>
            </w:r>
          </w:p>
        </w:tc>
        <w:tc>
          <w:tcPr>
            <w:tcW w:w="575" w:type="dxa"/>
          </w:tcPr>
          <w:p w:rsidR="00C52FE0" w:rsidRPr="00772E03" w:rsidRDefault="00C52FE0" w:rsidP="002F3124">
            <w:pPr>
              <w:spacing w:line="360" w:lineRule="auto"/>
              <w:rPr>
                <w:rFonts w:asciiTheme="minorHAnsi" w:eastAsia="Arial Unicode MS" w:hAnsiTheme="minorHAnsi" w:cstheme="minorHAnsi"/>
                <w:b/>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El Producto Interno Bruto Municipal</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Participación porcentual de los municipios en el PIBE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43</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 estructura económica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Empresas por sector de actividad…………………………………………………………………..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44</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Otros servicios excepto actividades del gobierno…………………………………………………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45</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Empresas por sector de actividad 2003…………………………………………………………….</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46</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El empleo sectorial</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Población ocupada por sector de actividad 2003 (Censo económico)………………………….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47</w:t>
            </w:r>
          </w:p>
        </w:tc>
      </w:tr>
      <w:tr w:rsidR="00C52FE0" w:rsidRPr="00772E03" w:rsidTr="002F3124">
        <w:trPr>
          <w:trHeight w:val="57"/>
        </w:trPr>
        <w:tc>
          <w:tcPr>
            <w:tcW w:w="8344" w:type="dxa"/>
          </w:tcPr>
          <w:p w:rsidR="00C52FE0" w:rsidRPr="00772E03" w:rsidRDefault="00C52FE0" w:rsidP="002F3124">
            <w:pPr>
              <w:tabs>
                <w:tab w:val="left" w:pos="284"/>
              </w:tabs>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Población ocupada por sector de actividad. (Censo general)……………………………………</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48</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lastRenderedPageBreak/>
              <w:t>Población ocupada por gran sector de actividad 2000……………………………………………</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49</w:t>
            </w: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Composición del PIBM</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Participación del PIBM por sector de actividad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50</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Participación de los municipios en el PIBE en el Sector de la electricidad, agua  y suministros de gas……………………………………………………………………………………</w:t>
            </w:r>
          </w:p>
        </w:tc>
        <w:tc>
          <w:tcPr>
            <w:tcW w:w="575" w:type="dxa"/>
            <w:vAlign w:val="center"/>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51</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Las remuneraciones salariales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Participación en las remuneraciones totales por municipio……………………………………...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52</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Remuneraciones por persona ocupada por municipio……………………………………………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53</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Las remuneraciones por sector productivo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Remuneraciones por persona ocupada…………………………………………………………….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54</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Déficit-superávit de remuneraciones por sector de actividad…………………………………….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55</w:t>
            </w: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 productividad del trabajo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Productividad del trabajo. Principales municipios…………………………………………………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57</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 productividad del trabajo por sector</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Productividad del trabajo según sector de actividad………………………………………………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58</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Coeficiente de productividad</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Coeficiente de productividad por principales municipios 2006…………………………………..</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59</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Coeficiente de productividad del comercio al por menor en Coatzacoalcos 2006……………</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60</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Coeficientes de productividad  del sector manufacturero en Coatzacoalcos  2006…………..</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60</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Coeficientes de productividad del sector minero en Coatzacoalcos 2006………………….….</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61</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Municipios con mayor coeficiente de productividad en el sector servicio 2006….……………</w:t>
            </w:r>
          </w:p>
          <w:p w:rsidR="00C52FE0" w:rsidRPr="00772E03" w:rsidRDefault="00C52FE0" w:rsidP="002F3124">
            <w:pPr>
              <w:rPr>
                <w:rFonts w:asciiTheme="minorHAnsi" w:hAnsiTheme="minorHAnsi" w:cstheme="minorHAnsi"/>
                <w:sz w:val="20"/>
                <w:szCs w:val="20"/>
              </w:rPr>
            </w:pPr>
            <w:r w:rsidRPr="00772E03">
              <w:rPr>
                <w:rFonts w:asciiTheme="minorHAnsi" w:eastAsia="Arial Unicode MS" w:hAnsiTheme="minorHAnsi" w:cstheme="minorHAnsi"/>
                <w:sz w:val="20"/>
                <w:szCs w:val="20"/>
              </w:rPr>
              <w:t>Coeficiente de productividad municipal por sector de actividad en Coatzacoalcos…………..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61</w:t>
            </w:r>
          </w:p>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62</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p>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 xml:space="preserve">Coeficiente de especialización </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Coeficiente de especialización (Recuadro)………………………………………………………...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64</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Las actividades primarias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Agricultura superficie sembrada……………………………………………………………………..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65</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Cabezas de ganado…………………………………………………………………………………..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65</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Ganadera y avícola…………………………………………………………………………………...</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66</w:t>
            </w: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Ejidos y comunidades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Superficie en ejidos y comunidades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67</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Proporción de ejidatarios, comuneros y posesionarios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67</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Ejidos y comunidades con actividad agropecuaria 2007…………………………………………</w:t>
            </w:r>
          </w:p>
          <w:p w:rsidR="00C52FE0" w:rsidRPr="00772E03" w:rsidRDefault="00C52FE0" w:rsidP="002F3124">
            <w:pPr>
              <w:rPr>
                <w:rFonts w:asciiTheme="minorHAnsi" w:hAnsiTheme="minorHAnsi" w:cstheme="minorHAnsi"/>
                <w:b/>
                <w:bCs/>
                <w:sz w:val="20"/>
                <w:szCs w:val="20"/>
              </w:rPr>
            </w:pPr>
            <w:r w:rsidRPr="00772E03">
              <w:rPr>
                <w:rFonts w:asciiTheme="minorHAnsi" w:hAnsiTheme="minorHAnsi" w:cstheme="minorHAnsi"/>
                <w:b/>
                <w:bCs/>
                <w:sz w:val="20"/>
                <w:szCs w:val="20"/>
              </w:rPr>
              <w:t>Índice de ventas comercial</w:t>
            </w:r>
          </w:p>
          <w:p w:rsidR="00C52FE0" w:rsidRPr="00772E03" w:rsidRDefault="00C52FE0" w:rsidP="002F3124">
            <w:pPr>
              <w:rPr>
                <w:rFonts w:asciiTheme="minorHAnsi" w:hAnsiTheme="minorHAnsi" w:cstheme="minorHAnsi"/>
                <w:sz w:val="20"/>
                <w:szCs w:val="20"/>
              </w:rPr>
            </w:pPr>
            <w:r w:rsidRPr="00772E03">
              <w:rPr>
                <w:rFonts w:asciiTheme="minorHAnsi" w:hAnsiTheme="minorHAnsi" w:cstheme="minorHAnsi"/>
                <w:sz w:val="20"/>
                <w:szCs w:val="20"/>
              </w:rPr>
              <w:t>Tasa de crecimiento del índice de ventas de establecimientos comercial……………………..</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68</w:t>
            </w:r>
          </w:p>
          <w:p w:rsidR="00C52FE0" w:rsidRPr="00772E03" w:rsidRDefault="00C52FE0" w:rsidP="002F3124">
            <w:pPr>
              <w:spacing w:line="360" w:lineRule="auto"/>
              <w:rPr>
                <w:rFonts w:asciiTheme="minorHAnsi" w:eastAsia="Arial Unicode MS" w:hAnsiTheme="minorHAnsi" w:cstheme="minorHAnsi"/>
                <w:sz w:val="20"/>
                <w:szCs w:val="20"/>
              </w:rPr>
            </w:pPr>
          </w:p>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69</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Transporte y comunicaciones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Parque vehicular………………………………………………………………………………………</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70</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Venta de vehículos por municipio 2008…………………………………………………………….</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71</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Venta de vehículos 2008……………………………………………………………………………..</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71</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Estaciones de televisión por municipio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72</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Suscriptores del servicio de televisión restringida por cable por principales municipios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73</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Estaciones radiodifusoras por principales municipios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74</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Usuarios de comunicación privada onda corta por principales municipios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75</w:t>
            </w: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Sistema financiero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lastRenderedPageBreak/>
              <w:t>Sucursales de la banca comercial por municipio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76</w:t>
            </w:r>
          </w:p>
        </w:tc>
      </w:tr>
      <w:tr w:rsidR="00C52FE0" w:rsidRPr="00772E03" w:rsidTr="002F3124">
        <w:trPr>
          <w:trHeight w:val="59"/>
        </w:trPr>
        <w:tc>
          <w:tcPr>
            <w:tcW w:w="8344" w:type="dxa"/>
          </w:tcPr>
          <w:p w:rsidR="00C52FE0" w:rsidRPr="00772E03" w:rsidRDefault="00C52FE0" w:rsidP="002F3124">
            <w:pPr>
              <w:spacing w:line="360" w:lineRule="auto"/>
              <w:rPr>
                <w:rFonts w:asciiTheme="minorHAnsi" w:hAnsiTheme="minorHAnsi" w:cstheme="minorHAnsi"/>
                <w:i/>
                <w:sz w:val="20"/>
                <w:szCs w:val="20"/>
              </w:rPr>
            </w:pPr>
            <w:r w:rsidRPr="00772E03">
              <w:rPr>
                <w:rFonts w:asciiTheme="minorHAnsi" w:hAnsiTheme="minorHAnsi" w:cstheme="minorHAnsi"/>
                <w:i/>
                <w:sz w:val="20"/>
                <w:szCs w:val="20"/>
              </w:rPr>
              <w:t>Personas  por  sucursales de la banca comercial por municipio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76</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Sucursales bancarias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77</w:t>
            </w:r>
          </w:p>
        </w:tc>
      </w:tr>
      <w:tr w:rsidR="00C52FE0" w:rsidRPr="00772E03" w:rsidTr="002F3124">
        <w:trPr>
          <w:trHeight w:val="615"/>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Captación de los recursos de la banca comercial 2007………………………………………….</w:t>
            </w:r>
          </w:p>
          <w:p w:rsidR="00C52FE0" w:rsidRPr="00772E03" w:rsidRDefault="00C52FE0" w:rsidP="00C52FE0">
            <w:pPr>
              <w:rPr>
                <w:rFonts w:asciiTheme="minorHAnsi" w:hAnsiTheme="minorHAnsi" w:cstheme="minorHAnsi"/>
                <w:sz w:val="20"/>
                <w:szCs w:val="20"/>
              </w:rPr>
            </w:pP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78</w:t>
            </w:r>
          </w:p>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1112"/>
        </w:trPr>
        <w:tc>
          <w:tcPr>
            <w:tcW w:w="8344" w:type="dxa"/>
          </w:tcPr>
          <w:p w:rsidR="00C52FE0" w:rsidRPr="00772E03" w:rsidRDefault="00C52FE0" w:rsidP="002F3124">
            <w:pPr>
              <w:spacing w:line="360" w:lineRule="auto"/>
              <w:rPr>
                <w:rFonts w:asciiTheme="minorHAnsi" w:eastAsia="Arial Unicode MS" w:hAnsiTheme="minorHAnsi" w:cstheme="minorHAnsi"/>
                <w:bCs/>
                <w:sz w:val="20"/>
                <w:szCs w:val="20"/>
              </w:rPr>
            </w:pPr>
            <w:r w:rsidRPr="00772E03">
              <w:rPr>
                <w:rFonts w:asciiTheme="minorHAnsi" w:eastAsia="Arial Unicode MS" w:hAnsiTheme="minorHAnsi" w:cstheme="minorHAnsi"/>
                <w:bCs/>
                <w:sz w:val="20"/>
                <w:szCs w:val="20"/>
              </w:rPr>
              <w:t>Índice  de captación tradicional en moneda nacional por municipio 2007……………………...</w:t>
            </w:r>
          </w:p>
          <w:p w:rsidR="00C52FE0" w:rsidRPr="00772E03" w:rsidRDefault="00C52FE0" w:rsidP="002F3124">
            <w:pPr>
              <w:spacing w:line="360" w:lineRule="auto"/>
              <w:rPr>
                <w:rFonts w:asciiTheme="minorHAnsi" w:eastAsia="Arial Unicode MS" w:hAnsiTheme="minorHAnsi" w:cstheme="minorHAnsi"/>
                <w:bCs/>
                <w:sz w:val="20"/>
                <w:szCs w:val="20"/>
              </w:rPr>
            </w:pPr>
            <w:r w:rsidRPr="00772E03">
              <w:rPr>
                <w:rFonts w:asciiTheme="minorHAnsi" w:eastAsia="Arial Unicode MS" w:hAnsiTheme="minorHAnsi" w:cstheme="minorHAnsi"/>
                <w:bCs/>
                <w:sz w:val="20"/>
                <w:szCs w:val="20"/>
              </w:rPr>
              <w:t>Captación de recursos de la banca comercial 2007 ……………………………………………..</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78</w:t>
            </w:r>
          </w:p>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79</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Remesas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i/>
                <w:sz w:val="20"/>
                <w:szCs w:val="20"/>
              </w:rPr>
            </w:pPr>
            <w:r w:rsidRPr="00772E03">
              <w:rPr>
                <w:rFonts w:asciiTheme="minorHAnsi" w:hAnsiTheme="minorHAnsi" w:cstheme="minorHAnsi"/>
                <w:i/>
                <w:sz w:val="20"/>
                <w:szCs w:val="20"/>
              </w:rPr>
              <w:t>Remesas de los principales municipios…………………………………………………………….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80</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Turismo</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i/>
                <w:sz w:val="20"/>
                <w:szCs w:val="20"/>
              </w:rPr>
            </w:pPr>
            <w:r w:rsidRPr="00772E03">
              <w:rPr>
                <w:rFonts w:asciiTheme="minorHAnsi" w:eastAsia="Arial Unicode MS" w:hAnsiTheme="minorHAnsi" w:cstheme="minorHAnsi"/>
                <w:i/>
                <w:sz w:val="20"/>
                <w:szCs w:val="20"/>
              </w:rPr>
              <w:t>Establecimientos de hospedaje registrados por municipio.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81</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i/>
                <w:sz w:val="20"/>
                <w:szCs w:val="20"/>
              </w:rPr>
            </w:pPr>
            <w:r w:rsidRPr="00772E03">
              <w:rPr>
                <w:rFonts w:asciiTheme="minorHAnsi" w:eastAsia="Arial Unicode MS" w:hAnsiTheme="minorHAnsi" w:cstheme="minorHAnsi"/>
                <w:i/>
                <w:sz w:val="20"/>
                <w:szCs w:val="20"/>
              </w:rPr>
              <w:t>Total de cuartos de hospedaje registrado por municipio.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82</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i/>
                <w:sz w:val="20"/>
                <w:szCs w:val="20"/>
              </w:rPr>
            </w:pPr>
            <w:r w:rsidRPr="00772E03">
              <w:rPr>
                <w:rFonts w:asciiTheme="minorHAnsi" w:eastAsia="Arial Unicode MS" w:hAnsiTheme="minorHAnsi" w:cstheme="minorHAnsi"/>
                <w:i/>
                <w:sz w:val="20"/>
                <w:szCs w:val="20"/>
              </w:rPr>
              <w:t>Turistas que se hospedaron en establecimientos según su categoría.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82</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i/>
                <w:sz w:val="20"/>
                <w:szCs w:val="20"/>
              </w:rPr>
            </w:pPr>
            <w:r w:rsidRPr="00772E03">
              <w:rPr>
                <w:rFonts w:asciiTheme="minorHAnsi" w:eastAsia="Arial Unicode MS" w:hAnsiTheme="minorHAnsi" w:cstheme="minorHAnsi"/>
                <w:i/>
                <w:sz w:val="20"/>
                <w:szCs w:val="20"/>
              </w:rPr>
              <w:t>Establecimientos de preparación y servicios de alimentos y de bebidas.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83</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i/>
                <w:sz w:val="20"/>
                <w:szCs w:val="20"/>
              </w:rPr>
            </w:pPr>
            <w:r w:rsidRPr="00772E03">
              <w:rPr>
                <w:rFonts w:asciiTheme="minorHAnsi" w:eastAsia="Arial Unicode MS" w:hAnsiTheme="minorHAnsi" w:cstheme="minorHAnsi"/>
                <w:i/>
                <w:sz w:val="20"/>
                <w:szCs w:val="20"/>
              </w:rPr>
              <w:t>Agencias de Viajes, transportadoras turísticas, empresas arrendadoras de automóviles, marinas turísticas. 2007………………………………………………………………………………</w:t>
            </w:r>
          </w:p>
        </w:tc>
        <w:tc>
          <w:tcPr>
            <w:tcW w:w="575" w:type="dxa"/>
            <w:vAlign w:val="center"/>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83</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Apoyos productivos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Monto de créditos y acreditados en el sector servicios 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84</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p>
          <w:p w:rsidR="00C52FE0" w:rsidRPr="00772E03" w:rsidRDefault="00C52FE0" w:rsidP="002F3124">
            <w:pPr>
              <w:spacing w:line="360" w:lineRule="auto"/>
              <w:rPr>
                <w:rFonts w:asciiTheme="minorHAnsi" w:eastAsia="Arial Unicode MS" w:hAnsiTheme="minorHAnsi" w:cstheme="minorHAnsi"/>
                <w:b/>
                <w:sz w:val="20"/>
                <w:szCs w:val="20"/>
              </w:rPr>
            </w:pP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CAPITULO  III. La hacienda pública municipal</w:t>
            </w:r>
          </w:p>
        </w:tc>
        <w:tc>
          <w:tcPr>
            <w:tcW w:w="575" w:type="dxa"/>
          </w:tcPr>
          <w:p w:rsidR="00C52FE0" w:rsidRPr="00772E03" w:rsidRDefault="00C52FE0" w:rsidP="002F3124">
            <w:pPr>
              <w:spacing w:line="360" w:lineRule="auto"/>
              <w:rPr>
                <w:rFonts w:asciiTheme="minorHAnsi" w:eastAsia="Arial Unicode MS" w:hAnsiTheme="minorHAnsi" w:cstheme="minorHAnsi"/>
                <w:b/>
                <w:sz w:val="20"/>
                <w:szCs w:val="20"/>
              </w:rPr>
            </w:pPr>
          </w:p>
        </w:tc>
      </w:tr>
      <w:tr w:rsidR="00C52FE0" w:rsidRPr="00772E03" w:rsidTr="002F3124">
        <w:trPr>
          <w:trHeight w:val="59"/>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Ingresos públicos municipales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lastRenderedPageBreak/>
              <w:t>Ingresos municipales totales (1997-2007)………………………………………………………….</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86</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Ingresos municipales propios y federales (1990-2009)…………………………………………..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88</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Ingresos municipales según origen (1997-2009)………………………………………………….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89</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Ingresos municipales por tipo 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90</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Ingresos municipales por tipo (1997-2009)………………………………………………………...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91</w:t>
            </w:r>
          </w:p>
        </w:tc>
      </w:tr>
      <w:tr w:rsidR="00C52FE0" w:rsidRPr="00772E03" w:rsidTr="002F3124">
        <w:trPr>
          <w:trHeight w:val="59"/>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Participación porcentual de los impuestos, derechos, productos y aprovechamientos en los ingresos municipales totales (1990-2009)………………………………………………………….</w:t>
            </w:r>
          </w:p>
        </w:tc>
        <w:tc>
          <w:tcPr>
            <w:tcW w:w="575" w:type="dxa"/>
            <w:vAlign w:val="bottom"/>
          </w:tcPr>
          <w:p w:rsidR="00C52FE0" w:rsidRPr="00772E03" w:rsidRDefault="00C52FE0" w:rsidP="002F3124">
            <w:pPr>
              <w:spacing w:line="360" w:lineRule="auto"/>
              <w:jc w:val="center"/>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92</w:t>
            </w:r>
          </w:p>
          <w:p w:rsidR="00C52FE0" w:rsidRPr="00772E03" w:rsidRDefault="00C52FE0" w:rsidP="002F3124">
            <w:pPr>
              <w:spacing w:line="360" w:lineRule="auto"/>
              <w:jc w:val="center"/>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Principales impuestos y derechos</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Impuestos municipales 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93</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Derechos municipales 2009………………………………………………………………………….</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93</w:t>
            </w:r>
          </w:p>
        </w:tc>
      </w:tr>
      <w:tr w:rsidR="00C52FE0" w:rsidRPr="00772E03" w:rsidTr="002F3124">
        <w:trPr>
          <w:trHeight w:val="57"/>
        </w:trPr>
        <w:tc>
          <w:tcPr>
            <w:tcW w:w="8344" w:type="dxa"/>
          </w:tcPr>
          <w:p w:rsidR="00C52FE0" w:rsidRPr="00772E03" w:rsidRDefault="00C52FE0" w:rsidP="002F3124">
            <w:pPr>
              <w:spacing w:line="360" w:lineRule="auto"/>
              <w:rPr>
                <w:rFonts w:asciiTheme="minorHAnsi" w:eastAsia="Arial Unicode MS" w:hAnsiTheme="minorHAnsi" w:cstheme="minorHAnsi"/>
                <w:b/>
                <w:sz w:val="20"/>
                <w:szCs w:val="20"/>
              </w:rPr>
            </w:pPr>
            <w:r w:rsidRPr="00772E03">
              <w:rPr>
                <w:rFonts w:asciiTheme="minorHAnsi" w:eastAsia="Arial Unicode MS" w:hAnsiTheme="minorHAnsi" w:cstheme="minorHAnsi"/>
                <w:b/>
                <w:sz w:val="20"/>
                <w:szCs w:val="20"/>
              </w:rPr>
              <w:t>El gasto público municipal</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Gasto público municipal (1990-2005)……………………………………………………………….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94</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Estructura del gasto público municipal 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95</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Gasto público. Clasificación económica. (1990-2005)……………………………………………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96</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Índice general de crecimiento del gasto público. Clasificación económica. (1990-2004)…….</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97</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Gasto de capital por rubro (1990-2005)…………………………………………………………….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98</w:t>
            </w:r>
          </w:p>
        </w:tc>
      </w:tr>
      <w:tr w:rsidR="00C52FE0" w:rsidRPr="00772E03" w:rsidTr="002F3124">
        <w:trPr>
          <w:trHeight w:val="57"/>
        </w:trPr>
        <w:tc>
          <w:tcPr>
            <w:tcW w:w="8344" w:type="dxa"/>
          </w:tcPr>
          <w:p w:rsidR="00C52FE0" w:rsidRPr="00772E03" w:rsidRDefault="00C52FE0" w:rsidP="002F3124">
            <w:pPr>
              <w:spacing w:line="360" w:lineRule="auto"/>
              <w:jc w:val="both"/>
              <w:rPr>
                <w:rFonts w:asciiTheme="minorHAnsi" w:hAnsiTheme="minorHAnsi" w:cstheme="minorHAnsi"/>
                <w:i/>
                <w:sz w:val="20"/>
                <w:szCs w:val="20"/>
              </w:rPr>
            </w:pPr>
            <w:r w:rsidRPr="00772E03">
              <w:rPr>
                <w:rFonts w:asciiTheme="minorHAnsi" w:hAnsiTheme="minorHAnsi" w:cstheme="minorHAnsi"/>
                <w:i/>
                <w:sz w:val="20"/>
                <w:szCs w:val="20"/>
              </w:rPr>
              <w:t>Gasto corriente por rubro (1990-2005)……………………………………………………………..</w:t>
            </w:r>
          </w:p>
        </w:tc>
        <w:tc>
          <w:tcPr>
            <w:tcW w:w="575" w:type="dxa"/>
          </w:tcPr>
          <w:p w:rsidR="00C52FE0" w:rsidRPr="00772E03" w:rsidRDefault="00C52FE0" w:rsidP="002F3124">
            <w:pPr>
              <w:spacing w:line="360" w:lineRule="auto"/>
              <w:rPr>
                <w:rFonts w:asciiTheme="minorHAnsi" w:eastAsia="Arial Unicode MS" w:hAnsiTheme="minorHAnsi" w:cstheme="minorHAnsi"/>
                <w:sz w:val="20"/>
                <w:szCs w:val="20"/>
              </w:rPr>
            </w:pPr>
            <w:r w:rsidRPr="00772E03">
              <w:rPr>
                <w:rFonts w:asciiTheme="minorHAnsi" w:eastAsia="Arial Unicode MS" w:hAnsiTheme="minorHAnsi" w:cstheme="minorHAnsi"/>
                <w:sz w:val="20"/>
                <w:szCs w:val="20"/>
              </w:rPr>
              <w:t xml:space="preserve">  98</w:t>
            </w:r>
          </w:p>
        </w:tc>
      </w:tr>
    </w:tbl>
    <w:p w:rsidR="00C52FE0" w:rsidRPr="00772E03" w:rsidRDefault="00C52FE0" w:rsidP="00C52FE0">
      <w:pPr>
        <w:tabs>
          <w:tab w:val="left" w:pos="3750"/>
        </w:tabs>
        <w:spacing w:line="360" w:lineRule="auto"/>
        <w:rPr>
          <w:rFonts w:asciiTheme="minorHAnsi" w:hAnsiTheme="minorHAnsi" w:cstheme="minorHAnsi"/>
          <w:sz w:val="24"/>
          <w:szCs w:val="24"/>
        </w:rPr>
      </w:pPr>
    </w:p>
    <w:sectPr w:rsidR="00C52FE0" w:rsidRPr="00772E03" w:rsidSect="00130A85">
      <w:headerReference w:type="default" r:id="rId113"/>
      <w:footerReference w:type="default" r:id="rId114"/>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3657" w:rsidRDefault="005E3657" w:rsidP="00B348BE">
      <w:pPr>
        <w:spacing w:after="0" w:line="240" w:lineRule="auto"/>
      </w:pPr>
      <w:r>
        <w:separator/>
      </w:r>
    </w:p>
  </w:endnote>
  <w:endnote w:type="continuationSeparator" w:id="0">
    <w:p w:rsidR="005E3657" w:rsidRDefault="005E3657" w:rsidP="00B348B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E32" w:rsidRDefault="0029009B">
    <w:pPr>
      <w:pStyle w:val="Piedepgina"/>
    </w:pPr>
    <w:r>
      <w:rPr>
        <w:noProof/>
        <w:lang w:eastAsia="es-MX" w:bidi="hi-IN"/>
      </w:rPr>
      <w:pict>
        <v:group id="_x0000_s6145" style="position:absolute;margin-left:0;margin-top:0;width:30.85pt;height:24.8pt;z-index:251658240;mso-position-horizontal:center;mso-position-horizontal-relative:right-margin-area;mso-position-vertical:center;mso-position-vertical-relative:bottom-margin-area" coordorigin="726,14496" coordsize="659,690">
          <v:rect id="_x0000_s6146" style="position:absolute;left:831;top:14552;width:512;height:526" fillcolor="#9bbb59 [3206]" strokecolor="#f2f2f2 [3041]" strokeweight="3pt">
            <v:shadow type="perspective" color="#4e6128 [1606]" opacity=".5" offset="1pt" offset2="-1pt"/>
          </v:rect>
          <v:rect id="_x0000_s6147" style="position:absolute;left:831;top:15117;width:512;height:43" fillcolor="#9bbb59 [3206]" strokecolor="#f2f2f2 [3041]" strokeweight="3pt">
            <v:shadow type="perspective" color="#4e6128 [1606]" opacity=".5" offset="1pt" offset2="-1pt"/>
          </v:rect>
          <v:shapetype id="_x0000_t202" coordsize="21600,21600" o:spt="202" path="m,l,21600r21600,l21600,xe">
            <v:stroke joinstyle="miter"/>
            <v:path gradientshapeok="t" o:connecttype="rect"/>
          </v:shapetype>
          <v:shape id="_x0000_s6148" type="#_x0000_t202" style="position:absolute;left:726;top:14496;width:659;height:690;v-text-anchor:bottom" fillcolor="#c00000" strokecolor="#f2f2f2 [3041]" strokeweight="3pt">
            <v:shadow type="perspective" color="#4e6128 [1606]" opacity=".5" offset="1pt" offset2="-1pt"/>
            <v:textbox style="mso-next-textbox:#_x0000_s6148" inset="4.32pt,0,4.32pt,0">
              <w:txbxContent>
                <w:p w:rsidR="00912E32" w:rsidRPr="006517B6" w:rsidRDefault="0029009B" w:rsidP="00A450D0">
                  <w:pPr>
                    <w:pStyle w:val="Piedepgina"/>
                    <w:jc w:val="center"/>
                    <w:rPr>
                      <w:rFonts w:ascii="Arial" w:hAnsi="Arial" w:cs="Arial"/>
                      <w:b/>
                      <w:i/>
                      <w:color w:val="FFFFFF" w:themeColor="background1"/>
                      <w:sz w:val="20"/>
                      <w:szCs w:val="20"/>
                    </w:rPr>
                  </w:pPr>
                  <w:r w:rsidRPr="006517B6">
                    <w:rPr>
                      <w:rFonts w:ascii="Arial" w:hAnsi="Arial" w:cs="Arial"/>
                      <w:sz w:val="20"/>
                      <w:szCs w:val="20"/>
                    </w:rPr>
                    <w:fldChar w:fldCharType="begin"/>
                  </w:r>
                  <w:r w:rsidR="00912E32" w:rsidRPr="006517B6">
                    <w:rPr>
                      <w:rFonts w:ascii="Arial" w:hAnsi="Arial" w:cs="Arial"/>
                      <w:sz w:val="20"/>
                      <w:szCs w:val="20"/>
                    </w:rPr>
                    <w:instrText xml:space="preserve"> PAGE    \* MERGEFORMAT </w:instrText>
                  </w:r>
                  <w:r w:rsidRPr="006517B6">
                    <w:rPr>
                      <w:rFonts w:ascii="Arial" w:hAnsi="Arial" w:cs="Arial"/>
                      <w:sz w:val="20"/>
                      <w:szCs w:val="20"/>
                    </w:rPr>
                    <w:fldChar w:fldCharType="separate"/>
                  </w:r>
                  <w:r w:rsidR="002C2C0E" w:rsidRPr="002C2C0E">
                    <w:rPr>
                      <w:rFonts w:ascii="Arial" w:hAnsi="Arial" w:cs="Arial"/>
                      <w:b/>
                      <w:i/>
                      <w:noProof/>
                      <w:color w:val="FFFFFF" w:themeColor="background1"/>
                      <w:sz w:val="20"/>
                      <w:szCs w:val="20"/>
                    </w:rPr>
                    <w:t>4</w:t>
                  </w:r>
                  <w:r w:rsidRPr="006517B6">
                    <w:rPr>
                      <w:rFonts w:ascii="Arial" w:hAnsi="Arial" w:cs="Arial"/>
                      <w:sz w:val="20"/>
                      <w:szCs w:val="20"/>
                    </w:rPr>
                    <w:fldChar w:fldCharType="end"/>
                  </w:r>
                </w:p>
              </w:txbxContent>
            </v:textbox>
          </v:shape>
          <w10:wrap anchorx="page" anchory="pag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3657" w:rsidRDefault="005E3657" w:rsidP="00B348BE">
      <w:pPr>
        <w:spacing w:after="0" w:line="240" w:lineRule="auto"/>
      </w:pPr>
      <w:r>
        <w:separator/>
      </w:r>
    </w:p>
  </w:footnote>
  <w:footnote w:type="continuationSeparator" w:id="0">
    <w:p w:rsidR="005E3657" w:rsidRDefault="005E3657" w:rsidP="00B348BE">
      <w:pPr>
        <w:spacing w:after="0" w:line="240" w:lineRule="auto"/>
      </w:pPr>
      <w:r>
        <w:continuationSeparator/>
      </w:r>
    </w:p>
  </w:footnote>
  <w:footnote w:id="1">
    <w:p w:rsidR="00912E32" w:rsidRPr="001960EB" w:rsidRDefault="00912E32" w:rsidP="00B348BE">
      <w:pPr>
        <w:pStyle w:val="Piedepgina"/>
        <w:rPr>
          <w:rFonts w:ascii="Arial" w:hAnsi="Arial" w:cs="Arial"/>
          <w:sz w:val="16"/>
          <w:szCs w:val="16"/>
        </w:rPr>
      </w:pPr>
      <w:r w:rsidRPr="00AC5EBF">
        <w:rPr>
          <w:rStyle w:val="Refdenotaalpie"/>
        </w:rPr>
        <w:footnoteRef/>
      </w:r>
      <w:r w:rsidRPr="00AC5EBF">
        <w:t xml:space="preserve"> </w:t>
      </w:r>
      <w:r w:rsidRPr="00AC5EBF">
        <w:rPr>
          <w:rFonts w:ascii="Arial" w:hAnsi="Arial" w:cs="Arial"/>
          <w:sz w:val="14"/>
          <w:szCs w:val="14"/>
        </w:rPr>
        <w:t xml:space="preserve">Con frecuencia se dice que existen más mujeres que hombres en el mundo y las razones son en primer lugar porque a pesar de que nacen más niño que niñas, las niñas son más fuertes biológicamente y sobreviven más bajo las mismas condiciones de atención.  En segundo lugar, la tasa de mortalidad masculina es mayor por  factores  que explican que los hombres están más expuestos a riesgos de muerte  tales como las guerras, adicciones (tabaquismo, alcoholismo) y una alta probabilidad de morir en forma violenta. </w:t>
      </w:r>
      <w:r>
        <w:rPr>
          <w:rFonts w:ascii="Arial" w:hAnsi="Arial" w:cs="Arial"/>
          <w:sz w:val="16"/>
          <w:szCs w:val="16"/>
        </w:rPr>
        <w:t xml:space="preserve"> </w:t>
      </w:r>
    </w:p>
    <w:p w:rsidR="00912E32" w:rsidRPr="00391AAF" w:rsidRDefault="00912E32" w:rsidP="00B348BE">
      <w:pPr>
        <w:jc w:val="both"/>
        <w:rPr>
          <w:rFonts w:ascii="Arial" w:hAnsi="Arial" w:cs="Arial"/>
        </w:rPr>
      </w:pPr>
    </w:p>
    <w:p w:rsidR="00912E32" w:rsidRPr="00391AAF" w:rsidRDefault="00912E32" w:rsidP="00B348BE">
      <w:pPr>
        <w:pStyle w:val="Textonotapie"/>
      </w:pPr>
    </w:p>
  </w:footnote>
  <w:footnote w:id="2">
    <w:p w:rsidR="00912E32" w:rsidRPr="000628BC" w:rsidRDefault="00912E32" w:rsidP="00154D02">
      <w:pPr>
        <w:pStyle w:val="Textonotapie"/>
        <w:jc w:val="both"/>
        <w:rPr>
          <w:lang w:val="es-MX"/>
        </w:rPr>
      </w:pPr>
      <w:r>
        <w:rPr>
          <w:rStyle w:val="Refdenotaalpie"/>
        </w:rPr>
        <w:footnoteRef/>
      </w:r>
      <w:r>
        <w:t xml:space="preserve"> </w:t>
      </w:r>
      <w:r>
        <w:rPr>
          <w:lang w:val="es-MX"/>
        </w:rPr>
        <w:t>Es la cantidad de la población de 15 años o más que no sabe leer ni escribir como proporción de la población total en ese rango de edad</w:t>
      </w:r>
    </w:p>
  </w:footnote>
  <w:footnote w:id="3">
    <w:p w:rsidR="00912E32" w:rsidRPr="00964545" w:rsidRDefault="00912E32" w:rsidP="002C01C4">
      <w:pPr>
        <w:pStyle w:val="Textonotapie"/>
        <w:jc w:val="both"/>
      </w:pPr>
      <w:r>
        <w:rPr>
          <w:rStyle w:val="Refdenotaalpie"/>
        </w:rPr>
        <w:footnoteRef/>
      </w:r>
      <w:r>
        <w:t xml:space="preserve"> </w:t>
      </w:r>
      <w:r w:rsidRPr="00383C67">
        <w:rPr>
          <w:rFonts w:ascii="Arial" w:hAnsi="Arial" w:cs="Arial"/>
          <w:sz w:val="18"/>
          <w:szCs w:val="18"/>
        </w:rPr>
        <w:t>Incluye servicios de reparación y mantenimiento (automóviles, camiones, equipo eléctrico, maquinaria industrial entre otros), servicios personales (Salones y clínicas de belleza, asociaciones y cámara, entre otros)  y asociaciones y organizaciones. Excepto actividades de gobierno.</w:t>
      </w:r>
    </w:p>
  </w:footnote>
  <w:footnote w:id="4">
    <w:p w:rsidR="00912E32" w:rsidRPr="00C372BA" w:rsidRDefault="00912E32" w:rsidP="00C8253F">
      <w:pPr>
        <w:pStyle w:val="Textonotapie"/>
        <w:jc w:val="both"/>
      </w:pPr>
      <w:r>
        <w:rPr>
          <w:rStyle w:val="Refdenotaalpie"/>
        </w:rPr>
        <w:footnoteRef/>
      </w:r>
      <w:r>
        <w:t xml:space="preserve"> </w:t>
      </w:r>
      <w:r w:rsidRPr="00C372BA">
        <w:rPr>
          <w:rFonts w:ascii="Arial" w:hAnsi="Arial" w:cs="Arial"/>
          <w:sz w:val="18"/>
          <w:szCs w:val="18"/>
        </w:rPr>
        <w:t>Para obtener este indicador se compara el valor de la producción total con el número total de personas ocupadas en la economía municipal. El dato que se obtiene indica la aportación a la producción de riqueza municipal que en promedio realiza cada persona ocupada, es decir, revela que tan productivo es cada unidad de trabajo en promedio (cada trabajador)</w:t>
      </w:r>
    </w:p>
  </w:footnote>
  <w:footnote w:id="5">
    <w:p w:rsidR="00912E32" w:rsidRPr="00196E3A" w:rsidRDefault="00912E32" w:rsidP="00497818">
      <w:pPr>
        <w:spacing w:after="100" w:afterAutospacing="1" w:line="240" w:lineRule="auto"/>
        <w:jc w:val="both"/>
        <w:rPr>
          <w:rFonts w:ascii="Times New Roman" w:hAnsi="Times New Roman" w:cs="Times New Roman"/>
          <w:sz w:val="20"/>
          <w:szCs w:val="20"/>
        </w:rPr>
      </w:pPr>
      <w:r>
        <w:rPr>
          <w:rStyle w:val="Refdenotaalpie"/>
        </w:rPr>
        <w:footnoteRef/>
      </w:r>
      <w:r>
        <w:t xml:space="preserve"> </w:t>
      </w:r>
      <w:r w:rsidRPr="00196E3A">
        <w:rPr>
          <w:rFonts w:ascii="Times New Roman" w:hAnsi="Times New Roman" w:cs="Times New Roman"/>
          <w:sz w:val="20"/>
          <w:szCs w:val="20"/>
        </w:rPr>
        <w:t xml:space="preserve">Es la porción de tierras, bosques o aguas que el gobierno entregó a un núcleo de población campesina para su explotación. Las tierras ejidales son inembargables, imprescriptibles e inalienables. </w:t>
      </w:r>
    </w:p>
    <w:p w:rsidR="00912E32" w:rsidRPr="00196E3A" w:rsidRDefault="00912E32" w:rsidP="00196E3A">
      <w:pPr>
        <w:pStyle w:val="Textonotapie"/>
      </w:pPr>
    </w:p>
  </w:footnote>
  <w:footnote w:id="6">
    <w:p w:rsidR="00912E32" w:rsidRPr="00196E3A" w:rsidRDefault="00912E32" w:rsidP="00497818">
      <w:pPr>
        <w:spacing w:after="100" w:afterAutospacing="1" w:line="240" w:lineRule="auto"/>
        <w:jc w:val="both"/>
        <w:rPr>
          <w:rFonts w:ascii="Times New Roman" w:hAnsi="Times New Roman" w:cs="Times New Roman"/>
          <w:sz w:val="20"/>
          <w:szCs w:val="20"/>
        </w:rPr>
      </w:pPr>
      <w:r w:rsidRPr="00196E3A">
        <w:rPr>
          <w:rStyle w:val="Refdenotaalpie"/>
          <w:rFonts w:ascii="Times New Roman" w:hAnsi="Times New Roman" w:cs="Times New Roman"/>
          <w:sz w:val="20"/>
          <w:szCs w:val="20"/>
        </w:rPr>
        <w:footnoteRef/>
      </w:r>
      <w:r w:rsidRPr="00196E3A">
        <w:rPr>
          <w:rFonts w:ascii="Times New Roman" w:hAnsi="Times New Roman" w:cs="Times New Roman"/>
          <w:sz w:val="20"/>
          <w:szCs w:val="20"/>
        </w:rPr>
        <w:t xml:space="preserve"> Es el núcleo de población formado por el conjunto de tierras, bosques y aguas que fueron reconocidos o restituidos a dicha comunidad, y de los cuales ha tenido presuntamente la posesión por tiempo inmemorial, con costumbres y prácticas comunales.</w:t>
      </w:r>
    </w:p>
    <w:p w:rsidR="00912E32" w:rsidRPr="00196E3A" w:rsidRDefault="00912E32" w:rsidP="00196E3A">
      <w:pPr>
        <w:pStyle w:val="Textonotapie"/>
        <w:rPr>
          <w:lang w:val="es-MX"/>
        </w:rPr>
      </w:pPr>
    </w:p>
  </w:footnote>
  <w:footnote w:id="7">
    <w:p w:rsidR="00912E32" w:rsidRDefault="00912E32" w:rsidP="00832F98">
      <w:pPr>
        <w:pStyle w:val="Textonotapie"/>
      </w:pPr>
      <w:r>
        <w:rPr>
          <w:rStyle w:val="Refdenotaalpie"/>
        </w:rPr>
        <w:footnoteRef/>
      </w:r>
      <w:r>
        <w:t xml:space="preserve"> Se refiere a créditos para adquirir materias primas, capital de trabajo o sueldos, con plazos de 24 a 36 meses y son otorgados con una tasa preferencial que es la TIIE a 91 días.</w:t>
      </w:r>
    </w:p>
    <w:p w:rsidR="00912E32" w:rsidRDefault="00912E32" w:rsidP="00832F98">
      <w:pPr>
        <w:pStyle w:val="Textonotapie"/>
      </w:pPr>
    </w:p>
  </w:footnote>
  <w:footnote w:id="8">
    <w:p w:rsidR="00912E32" w:rsidRDefault="00912E32" w:rsidP="00832F98">
      <w:pPr>
        <w:pStyle w:val="Textonotapie"/>
      </w:pPr>
      <w:r>
        <w:rPr>
          <w:rStyle w:val="Refdenotaalpie"/>
        </w:rPr>
        <w:footnoteRef/>
      </w:r>
      <w:r>
        <w:t xml:space="preserve"> Se refiere a créditos para comprar equipo, maquinaria o instalaciones, con plazos de 24 a 60 meses y son otorgados a una tasa preferencial  que es el TIIE a 91 días</w:t>
      </w:r>
    </w:p>
  </w:footnote>
  <w:footnote w:id="9">
    <w:p w:rsidR="00912E32" w:rsidRPr="00884F1B" w:rsidRDefault="00912E32" w:rsidP="00B17B78">
      <w:pPr>
        <w:autoSpaceDE w:val="0"/>
        <w:autoSpaceDN w:val="0"/>
        <w:adjustRightInd w:val="0"/>
        <w:jc w:val="both"/>
        <w:rPr>
          <w:rFonts w:ascii="Times New Roman" w:hAnsi="Times New Roman" w:cs="Times New Roman"/>
          <w:sz w:val="18"/>
          <w:szCs w:val="18"/>
        </w:rPr>
      </w:pPr>
      <w:r w:rsidRPr="00884F1B">
        <w:rPr>
          <w:rStyle w:val="Refdenotaalpie"/>
          <w:rFonts w:ascii="Times New Roman" w:hAnsi="Times New Roman" w:cs="Times New Roman"/>
          <w:sz w:val="18"/>
          <w:szCs w:val="18"/>
        </w:rPr>
        <w:footnoteRef/>
      </w:r>
      <w:r w:rsidRPr="00884F1B">
        <w:rPr>
          <w:rFonts w:ascii="Times New Roman" w:hAnsi="Times New Roman" w:cs="Times New Roman"/>
          <w:sz w:val="18"/>
          <w:szCs w:val="18"/>
        </w:rPr>
        <w:t xml:space="preserve"> Ingresos propios incluye: Impuestos, Derechos, Productos, Aprovechamientos, Contribuciones de mejoras, y Otros Ingresos. Excluye: Participaciones y aportaciones federales, Ingresos por cuenta de terceros, Financiamiento (deuda pública) Disponibilidades del año anterior. Los Ingresos por cuenta de terceros son los cobros y retenciones efectuados por cuenta de terceros que serán entregados posteriormente a éstos o a las instituciones correspondientes (SHCP, ISSSTE, FOVISSSTE, IMSS, etc.)</w:t>
      </w:r>
    </w:p>
    <w:p w:rsidR="00912E32" w:rsidRPr="00D81C26" w:rsidRDefault="00912E32" w:rsidP="00B17B78">
      <w:pPr>
        <w:autoSpaceDE w:val="0"/>
        <w:autoSpaceDN w:val="0"/>
        <w:adjustRightInd w:val="0"/>
        <w:jc w:val="both"/>
        <w:rPr>
          <w:rFonts w:ascii="Verdana" w:hAnsi="Verdana" w:cs="Arial"/>
          <w:sz w:val="20"/>
          <w:szCs w:val="20"/>
        </w:rPr>
      </w:pPr>
    </w:p>
    <w:p w:rsidR="00912E32" w:rsidRPr="00364478" w:rsidRDefault="00912E32" w:rsidP="00B17B78">
      <w:pPr>
        <w:pStyle w:val="Textonotapie"/>
      </w:pPr>
    </w:p>
  </w:footnote>
  <w:footnote w:id="10">
    <w:p w:rsidR="00912E32" w:rsidRPr="00884F1B" w:rsidRDefault="00912E32" w:rsidP="009B1733">
      <w:pPr>
        <w:pStyle w:val="Textonotapie"/>
        <w:jc w:val="both"/>
      </w:pPr>
      <w:r w:rsidRPr="003D294A">
        <w:rPr>
          <w:rStyle w:val="Refdenotaalpie"/>
          <w:rFonts w:ascii="Arial" w:hAnsi="Arial" w:cs="Arial"/>
          <w:sz w:val="18"/>
          <w:szCs w:val="18"/>
        </w:rPr>
        <w:footnoteRef/>
      </w:r>
      <w:r w:rsidRPr="003D294A">
        <w:rPr>
          <w:rFonts w:ascii="Arial" w:hAnsi="Arial" w:cs="Arial"/>
          <w:sz w:val="18"/>
          <w:szCs w:val="18"/>
        </w:rPr>
        <w:t xml:space="preserve"> </w:t>
      </w:r>
      <w:r w:rsidRPr="00884F1B">
        <w:t>Son recursos que la federación transfiere a estados y municipios para participarles de la recaudación de impuestos federales y otros ingresos que señala la Ley de Coordinación Fiscal y que quedan comprendidos dentro de la llamada Recaudación Federal Participable (RFP) que obtiene la Federación.</w:t>
      </w:r>
    </w:p>
    <w:p w:rsidR="00912E32" w:rsidRPr="00884F1B" w:rsidRDefault="00912E32" w:rsidP="009B1733">
      <w:pPr>
        <w:pStyle w:val="Textonotapie"/>
        <w:jc w:val="both"/>
      </w:pPr>
    </w:p>
  </w:footnote>
  <w:footnote w:id="11">
    <w:p w:rsidR="00912E32" w:rsidRPr="00884F1B" w:rsidRDefault="00912E32" w:rsidP="009B1733">
      <w:pPr>
        <w:pStyle w:val="Textonotapie"/>
        <w:jc w:val="both"/>
      </w:pPr>
      <w:r w:rsidRPr="00884F1B">
        <w:rPr>
          <w:rStyle w:val="Refdenotaalpie"/>
        </w:rPr>
        <w:footnoteRef/>
      </w:r>
      <w:r w:rsidRPr="00884F1B">
        <w:t xml:space="preserve"> Son los recursos que la Administración Pública Federal otorga a los gobiernos de los estados y municipios, los cuales se destinan a objetivos y programas delegados a estos dos niveles de gobierno. Se canalizan a través del Fondo de Aportaciones para la Educación Básica y Normal, Fondo de Aportaciones para los Servicios de Salud, Fondo de Aportaciones para la Infraestructura Social (distribuido en estatal y municipal), Fondo de Aportaciones para el Fortalecimiento de los Municipios y de las Demarcaciones Territoriales del Distrito Federal, Fondo de Aportaciones Múltiples, Fondo de Aportaciones para la Educación Tecnológica y de Adultos, Fondo de Aportaciones para la Seguridad Pública de las Entidades Federativas y del Distrito Federal. Además de los recursos Federales recibidos por convenio.</w:t>
      </w:r>
    </w:p>
  </w:footnote>
  <w:footnote w:id="12">
    <w:p w:rsidR="00912E32" w:rsidRPr="00884F1B" w:rsidRDefault="00912E32" w:rsidP="009B1733">
      <w:pPr>
        <w:pStyle w:val="Textonotapie"/>
        <w:jc w:val="both"/>
      </w:pPr>
      <w:r w:rsidRPr="00884F1B">
        <w:rPr>
          <w:rStyle w:val="Refdenotaalpie"/>
        </w:rPr>
        <w:footnoteRef/>
      </w:r>
      <w:r w:rsidRPr="00884F1B">
        <w:t xml:space="preserve"> Contribuciones establecidas en la Ley por el uso o aprovechamiento de los bienes de dominio público, así como por los servicios que presta el Estado en sus funciones de derecho público, excepto cuando se prestan por organismos descentralizados. Algunos ejemplos de derechos son: registro civil, registro público de la propiedad, licencias y permisos y agua potable. También son derechos las contribuciones a cargo de los organismos públicos descentralizados por prestar servicios exclusivos del Estado.</w:t>
      </w:r>
    </w:p>
  </w:footnote>
  <w:footnote w:id="13">
    <w:p w:rsidR="00912E32" w:rsidRPr="00884F1B" w:rsidRDefault="00912E32" w:rsidP="009B1733">
      <w:pPr>
        <w:pStyle w:val="Textonotapie"/>
        <w:jc w:val="both"/>
      </w:pPr>
      <w:r w:rsidRPr="00884F1B">
        <w:rPr>
          <w:rStyle w:val="Refdenotaalpie"/>
        </w:rPr>
        <w:footnoteRef/>
      </w:r>
      <w:r w:rsidRPr="00884F1B">
        <w:t xml:space="preserve"> Ingresos ordinarios que provienen de las actividades que realizan los gobiernos en su función de derecho público. En términos generales, se derivan del incumplimiento de las obligaciones fiscales de los contribuyentes; son recibidos en forma de rezago, recargos, reintegros, donativos, multas y sanciones.</w:t>
      </w:r>
    </w:p>
  </w:footnote>
  <w:footnote w:id="14">
    <w:p w:rsidR="00912E32" w:rsidRPr="00884F1B" w:rsidRDefault="00912E32" w:rsidP="009B1733">
      <w:pPr>
        <w:pStyle w:val="Textonotapie"/>
        <w:jc w:val="both"/>
      </w:pPr>
      <w:r w:rsidRPr="00884F1B">
        <w:rPr>
          <w:rStyle w:val="Refdenotaalpie"/>
        </w:rPr>
        <w:footnoteRef/>
      </w:r>
      <w:r w:rsidRPr="00884F1B">
        <w:t xml:space="preserve"> El gasto en obras son las asignaciones para crear la infraestructura física que contribuye a la formación de capital del municipio. El gasto en acciones sociales es para cubrir los servicios que permiten incrementar  el bienestar social de la población. Es un tipo de gasto de capital que no se refleja en infraestructura física sino más bien en la realización de programas específicos por administración directa de los gobiernos; por ejemplo los programas de la seguridad pública y el desarrollo económico y administrativo.</w:t>
      </w:r>
    </w:p>
  </w:footnote>
  <w:footnote w:id="15">
    <w:p w:rsidR="00912E32" w:rsidRPr="00884F1B" w:rsidRDefault="00912E32" w:rsidP="009B1733">
      <w:pPr>
        <w:pStyle w:val="Textonotapie"/>
        <w:jc w:val="both"/>
      </w:pPr>
      <w:r w:rsidRPr="00884F1B">
        <w:rPr>
          <w:rStyle w:val="Refdenotaalpie"/>
        </w:rPr>
        <w:footnoteRef/>
      </w:r>
      <w:r w:rsidRPr="00884F1B">
        <w:t xml:space="preserve"> Asignaciones para  financiar  las remuneraciones del personal que labora en los gobiernos estatales y municipales, así como cualquier otra erogación derivada de la relación laboral, por ejemplo los pagos que cubre el gobierno a las instituciones públicas por concepto de seguridad social o los pagos por otras prestaciones sociales.</w:t>
      </w:r>
    </w:p>
  </w:footnote>
  <w:footnote w:id="16">
    <w:p w:rsidR="00912E32" w:rsidRPr="00884F1B" w:rsidRDefault="00912E32" w:rsidP="009B1733">
      <w:pPr>
        <w:pStyle w:val="Textonotapie"/>
        <w:jc w:val="both"/>
      </w:pPr>
      <w:r w:rsidRPr="00884F1B">
        <w:rPr>
          <w:rStyle w:val="Refdenotaalpie"/>
        </w:rPr>
        <w:footnoteRef/>
      </w:r>
      <w:r w:rsidRPr="00884F1B">
        <w:t xml:space="preserve"> Asignaciones destinadas a cubrir el costo de todo tipo de servicios indispensables para el funcionamiento de la administración pública estatal y municipal, que se concentra a particulares o a instituciones del propio sector público. Incluye servicios básicos como: postal, telegráfico, telefónico, energía eléctrica y agua potable, arrendamiento, asesoría, comercial y bancario, mantenimiento, conservación e instalación.</w:t>
      </w:r>
    </w:p>
  </w:footnote>
  <w:footnote w:id="17">
    <w:p w:rsidR="00912E32" w:rsidRPr="00884F1B" w:rsidRDefault="00912E32" w:rsidP="009B1733">
      <w:pPr>
        <w:pStyle w:val="Textonotapie"/>
        <w:jc w:val="both"/>
      </w:pPr>
      <w:r w:rsidRPr="00884F1B">
        <w:rPr>
          <w:rStyle w:val="Refdenotaalpie"/>
        </w:rPr>
        <w:footnoteRef/>
      </w:r>
      <w:r w:rsidRPr="00884F1B">
        <w:t xml:space="preserve"> Adquisición de toda clase de materiales requeridos para el desempeño de las actividades administrativas y productivas del gobierno municipal.</w:t>
      </w:r>
    </w:p>
  </w:footnote>
  <w:footnote w:id="18">
    <w:p w:rsidR="00912E32" w:rsidRPr="00884F1B" w:rsidRDefault="00912E32" w:rsidP="009B1733">
      <w:pPr>
        <w:pStyle w:val="Textonotapie"/>
        <w:jc w:val="both"/>
      </w:pPr>
      <w:r w:rsidRPr="00884F1B">
        <w:rPr>
          <w:rStyle w:val="Refdenotaalpie"/>
        </w:rPr>
        <w:footnoteRef/>
      </w:r>
      <w:r w:rsidRPr="00884F1B">
        <w:t xml:space="preserve"> Agrupa las partidas de gasto de los capítulos de servicios personales, materiales y suministros, servicios generales; los bienes y servicios corresponden al activo circulante de las mismas.</w:t>
      </w:r>
    </w:p>
  </w:footnote>
  <w:footnote w:id="19">
    <w:p w:rsidR="00912E32" w:rsidRPr="00884F1B" w:rsidRDefault="00912E32" w:rsidP="009B1733">
      <w:pPr>
        <w:pStyle w:val="Textonotapie"/>
        <w:jc w:val="both"/>
      </w:pPr>
      <w:r w:rsidRPr="00884F1B">
        <w:rPr>
          <w:rStyle w:val="Refdenotaalpie"/>
        </w:rPr>
        <w:footnoteRef/>
      </w:r>
      <w:r w:rsidRPr="00884F1B">
        <w:t xml:space="preserve"> Afecta las partidas de gasto de los capítulos de bienes muebles e inmuebles y obras públicas, comprendidas en estas últimas las erogaciones realizadas con cargo a los capítulos de gasto de servicios personales, materiales y suministros y servicios generales, por concepto de bienes y servicios relacionados con las obras públicas por administración directa.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insideV w:val="single" w:sz="18" w:space="0" w:color="808080"/>
      </w:tblBorders>
      <w:tblCellMar>
        <w:top w:w="72" w:type="dxa"/>
        <w:left w:w="115" w:type="dxa"/>
        <w:bottom w:w="72" w:type="dxa"/>
        <w:right w:w="115" w:type="dxa"/>
      </w:tblCellMar>
      <w:tblLook w:val="04A0"/>
    </w:tblPr>
    <w:tblGrid>
      <w:gridCol w:w="4651"/>
      <w:gridCol w:w="4417"/>
    </w:tblGrid>
    <w:tr w:rsidR="00912E32" w:rsidRPr="00F15EB4" w:rsidTr="0008202C">
      <w:trPr>
        <w:trHeight w:val="288"/>
      </w:trPr>
      <w:sdt>
        <w:sdtPr>
          <w:rPr>
            <w:rFonts w:asciiTheme="minorHAnsi" w:eastAsia="Times New Roman" w:hAnsiTheme="minorHAnsi" w:cstheme="minorHAnsi"/>
            <w:sz w:val="20"/>
            <w:szCs w:val="20"/>
            <w:lang w:val="es-ES" w:eastAsia="es-ES"/>
          </w:rPr>
          <w:alias w:val="Título"/>
          <w:id w:val="5710111"/>
          <w:dataBinding w:prefixMappings="xmlns:ns0='http://schemas.openxmlformats.org/package/2006/metadata/core-properties' xmlns:ns1='http://purl.org/dc/elements/1.1/'" w:xpath="/ns0:coreProperties[1]/ns1:title[1]" w:storeItemID="{6C3C8BC8-F283-45AE-878A-BAB7291924A1}"/>
          <w:text/>
        </w:sdtPr>
        <w:sdtContent>
          <w:tc>
            <w:tcPr>
              <w:tcW w:w="4651" w:type="dxa"/>
            </w:tcPr>
            <w:p w:rsidR="00912E32" w:rsidRPr="00772E03" w:rsidRDefault="00912E32" w:rsidP="00F15EB4">
              <w:pPr>
                <w:tabs>
                  <w:tab w:val="center" w:pos="4419"/>
                  <w:tab w:val="right" w:pos="8838"/>
                </w:tabs>
                <w:spacing w:after="0" w:line="240" w:lineRule="auto"/>
                <w:rPr>
                  <w:rFonts w:asciiTheme="minorHAnsi" w:eastAsia="Times New Roman" w:hAnsiTheme="minorHAnsi" w:cstheme="minorHAnsi"/>
                  <w:sz w:val="36"/>
                  <w:szCs w:val="36"/>
                  <w:lang w:val="es-ES" w:eastAsia="es-ES"/>
                </w:rPr>
              </w:pPr>
              <w:r w:rsidRPr="00772E03">
                <w:rPr>
                  <w:rFonts w:asciiTheme="minorHAnsi" w:eastAsia="Times New Roman" w:hAnsiTheme="minorHAnsi" w:cstheme="minorHAnsi"/>
                  <w:sz w:val="20"/>
                  <w:szCs w:val="20"/>
                  <w:lang w:val="es-ES" w:eastAsia="es-ES"/>
                </w:rPr>
                <w:t>Coatzacoalcos. Situación y perspectiva</w:t>
              </w:r>
            </w:p>
          </w:tc>
        </w:sdtContent>
      </w:sdt>
      <w:tc>
        <w:tcPr>
          <w:tcW w:w="4417" w:type="dxa"/>
        </w:tcPr>
        <w:p w:rsidR="00912E32" w:rsidRPr="0008202C" w:rsidRDefault="00912E32" w:rsidP="0008202C">
          <w:pPr>
            <w:tabs>
              <w:tab w:val="center" w:pos="4419"/>
              <w:tab w:val="right" w:pos="8838"/>
            </w:tabs>
            <w:spacing w:after="0" w:line="240" w:lineRule="auto"/>
            <w:jc w:val="center"/>
            <w:rPr>
              <w:rFonts w:ascii="Cambria" w:eastAsia="Times New Roman" w:hAnsi="Cambria"/>
              <w:bCs/>
              <w:sz w:val="20"/>
              <w:szCs w:val="20"/>
              <w:lang w:val="es-ES" w:eastAsia="es-ES"/>
            </w:rPr>
          </w:pPr>
          <w:r w:rsidRPr="0008202C">
            <w:rPr>
              <w:rFonts w:ascii="Cambria" w:eastAsia="Times New Roman" w:hAnsi="Cambria"/>
              <w:bCs/>
              <w:sz w:val="20"/>
              <w:szCs w:val="20"/>
              <w:lang w:val="es-ES" w:eastAsia="es-ES"/>
            </w:rPr>
            <w:t>Hilario Barcelata Chávez</w:t>
          </w:r>
        </w:p>
      </w:tc>
    </w:tr>
  </w:tbl>
  <w:p w:rsidR="00912E32" w:rsidRDefault="00912E32">
    <w:pPr>
      <w:pStyle w:val="Encabezado"/>
    </w:pPr>
  </w:p>
  <w:p w:rsidR="00912E32" w:rsidRDefault="00912E32">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C0857A6"/>
    <w:multiLevelType w:val="hybridMultilevel"/>
    <w:tmpl w:val="6B4808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6C8332F4"/>
    <w:multiLevelType w:val="hybridMultilevel"/>
    <w:tmpl w:val="DB3E82FA"/>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hyphenationZone w:val="425"/>
  <w:characterSpacingControl w:val="doNotCompress"/>
  <w:hdrShapeDefaults>
    <o:shapedefaults v:ext="edit" spidmax="8194">
      <o:colormenu v:ext="edit" fillcolor="none" strokecolor="red"/>
    </o:shapedefaults>
    <o:shapelayout v:ext="edit">
      <o:idmap v:ext="edit" data="6"/>
    </o:shapelayout>
  </w:hdrShapeDefaults>
  <w:footnotePr>
    <w:footnote w:id="-1"/>
    <w:footnote w:id="0"/>
  </w:footnotePr>
  <w:endnotePr>
    <w:endnote w:id="-1"/>
    <w:endnote w:id="0"/>
  </w:endnotePr>
  <w:compat/>
  <w:rsids>
    <w:rsidRoot w:val="00F0261F"/>
    <w:rsid w:val="00025A88"/>
    <w:rsid w:val="00044DAC"/>
    <w:rsid w:val="00063B35"/>
    <w:rsid w:val="00066CA7"/>
    <w:rsid w:val="0008202C"/>
    <w:rsid w:val="00086E9E"/>
    <w:rsid w:val="00096645"/>
    <w:rsid w:val="00107824"/>
    <w:rsid w:val="001116E9"/>
    <w:rsid w:val="00130A85"/>
    <w:rsid w:val="0014630D"/>
    <w:rsid w:val="001547B6"/>
    <w:rsid w:val="00154D02"/>
    <w:rsid w:val="00160C9F"/>
    <w:rsid w:val="001666BE"/>
    <w:rsid w:val="00182D8A"/>
    <w:rsid w:val="00183828"/>
    <w:rsid w:val="00196E3A"/>
    <w:rsid w:val="001A4F53"/>
    <w:rsid w:val="001B471E"/>
    <w:rsid w:val="001C085C"/>
    <w:rsid w:val="001E04FD"/>
    <w:rsid w:val="001E4B1C"/>
    <w:rsid w:val="00201CBD"/>
    <w:rsid w:val="00203B89"/>
    <w:rsid w:val="002056D5"/>
    <w:rsid w:val="00230E7B"/>
    <w:rsid w:val="00233D0F"/>
    <w:rsid w:val="0024145B"/>
    <w:rsid w:val="00252C78"/>
    <w:rsid w:val="00255019"/>
    <w:rsid w:val="00261E4C"/>
    <w:rsid w:val="002644BC"/>
    <w:rsid w:val="00280274"/>
    <w:rsid w:val="0029009B"/>
    <w:rsid w:val="002A0B6F"/>
    <w:rsid w:val="002A13DA"/>
    <w:rsid w:val="002B5326"/>
    <w:rsid w:val="002C01C4"/>
    <w:rsid w:val="002C2C0E"/>
    <w:rsid w:val="002E04FA"/>
    <w:rsid w:val="002E762A"/>
    <w:rsid w:val="002F3124"/>
    <w:rsid w:val="003047A0"/>
    <w:rsid w:val="00310F30"/>
    <w:rsid w:val="0034015C"/>
    <w:rsid w:val="003526B7"/>
    <w:rsid w:val="003721C5"/>
    <w:rsid w:val="00374CF2"/>
    <w:rsid w:val="00377F0D"/>
    <w:rsid w:val="00382C62"/>
    <w:rsid w:val="003840F9"/>
    <w:rsid w:val="003914A7"/>
    <w:rsid w:val="003A2973"/>
    <w:rsid w:val="003A76C1"/>
    <w:rsid w:val="003B639E"/>
    <w:rsid w:val="003C1D2B"/>
    <w:rsid w:val="003E3A9E"/>
    <w:rsid w:val="003E7DE8"/>
    <w:rsid w:val="003F035F"/>
    <w:rsid w:val="00412F97"/>
    <w:rsid w:val="004229CA"/>
    <w:rsid w:val="00426751"/>
    <w:rsid w:val="00450BFC"/>
    <w:rsid w:val="00463DCA"/>
    <w:rsid w:val="00486E46"/>
    <w:rsid w:val="00497818"/>
    <w:rsid w:val="004A00FD"/>
    <w:rsid w:val="004C7B88"/>
    <w:rsid w:val="004E0886"/>
    <w:rsid w:val="005341DB"/>
    <w:rsid w:val="00544CB2"/>
    <w:rsid w:val="0055779E"/>
    <w:rsid w:val="00566389"/>
    <w:rsid w:val="005A4E21"/>
    <w:rsid w:val="005A6972"/>
    <w:rsid w:val="005B3898"/>
    <w:rsid w:val="005B4DA1"/>
    <w:rsid w:val="005C5FEB"/>
    <w:rsid w:val="005D4946"/>
    <w:rsid w:val="005D6537"/>
    <w:rsid w:val="005E3657"/>
    <w:rsid w:val="005F15D3"/>
    <w:rsid w:val="006040DF"/>
    <w:rsid w:val="00634629"/>
    <w:rsid w:val="00657385"/>
    <w:rsid w:val="006736D3"/>
    <w:rsid w:val="006C0D5B"/>
    <w:rsid w:val="006C1C51"/>
    <w:rsid w:val="006C4543"/>
    <w:rsid w:val="006C5B3A"/>
    <w:rsid w:val="006E580B"/>
    <w:rsid w:val="0070418F"/>
    <w:rsid w:val="00717F0E"/>
    <w:rsid w:val="007329A6"/>
    <w:rsid w:val="00732B25"/>
    <w:rsid w:val="00743709"/>
    <w:rsid w:val="00750FAE"/>
    <w:rsid w:val="007553B6"/>
    <w:rsid w:val="0075567F"/>
    <w:rsid w:val="007631BB"/>
    <w:rsid w:val="00766167"/>
    <w:rsid w:val="00772948"/>
    <w:rsid w:val="00772E03"/>
    <w:rsid w:val="00784CEA"/>
    <w:rsid w:val="00786F7A"/>
    <w:rsid w:val="007A1AE0"/>
    <w:rsid w:val="007B44B7"/>
    <w:rsid w:val="007C04D5"/>
    <w:rsid w:val="007C6F1C"/>
    <w:rsid w:val="007D2A80"/>
    <w:rsid w:val="007F143C"/>
    <w:rsid w:val="008015DE"/>
    <w:rsid w:val="00806D5C"/>
    <w:rsid w:val="0081636B"/>
    <w:rsid w:val="0081733D"/>
    <w:rsid w:val="008245E2"/>
    <w:rsid w:val="00832F98"/>
    <w:rsid w:val="008637E0"/>
    <w:rsid w:val="00884F1B"/>
    <w:rsid w:val="008A74D7"/>
    <w:rsid w:val="008C6C1B"/>
    <w:rsid w:val="008E1451"/>
    <w:rsid w:val="008E22A9"/>
    <w:rsid w:val="00900DB9"/>
    <w:rsid w:val="00912E32"/>
    <w:rsid w:val="00927B82"/>
    <w:rsid w:val="009619AB"/>
    <w:rsid w:val="00967F7D"/>
    <w:rsid w:val="009712A0"/>
    <w:rsid w:val="00977A7E"/>
    <w:rsid w:val="009B05AD"/>
    <w:rsid w:val="009B1733"/>
    <w:rsid w:val="009B78FE"/>
    <w:rsid w:val="009D1D63"/>
    <w:rsid w:val="009E0FB9"/>
    <w:rsid w:val="009E7600"/>
    <w:rsid w:val="00A0242E"/>
    <w:rsid w:val="00A02C6A"/>
    <w:rsid w:val="00A1790C"/>
    <w:rsid w:val="00A4075F"/>
    <w:rsid w:val="00A40ECA"/>
    <w:rsid w:val="00A42371"/>
    <w:rsid w:val="00A450D0"/>
    <w:rsid w:val="00A45BB6"/>
    <w:rsid w:val="00A540B0"/>
    <w:rsid w:val="00A90AA9"/>
    <w:rsid w:val="00AA0744"/>
    <w:rsid w:val="00AB320B"/>
    <w:rsid w:val="00AB3FD4"/>
    <w:rsid w:val="00AC0475"/>
    <w:rsid w:val="00AC7486"/>
    <w:rsid w:val="00AE56AA"/>
    <w:rsid w:val="00B12F0E"/>
    <w:rsid w:val="00B17B78"/>
    <w:rsid w:val="00B343A0"/>
    <w:rsid w:val="00B348BE"/>
    <w:rsid w:val="00B34E68"/>
    <w:rsid w:val="00B76995"/>
    <w:rsid w:val="00B93CA0"/>
    <w:rsid w:val="00BB16F4"/>
    <w:rsid w:val="00BB395C"/>
    <w:rsid w:val="00BB504E"/>
    <w:rsid w:val="00BD44C4"/>
    <w:rsid w:val="00BE5F46"/>
    <w:rsid w:val="00BF296E"/>
    <w:rsid w:val="00BF52B8"/>
    <w:rsid w:val="00C31F58"/>
    <w:rsid w:val="00C32077"/>
    <w:rsid w:val="00C52FE0"/>
    <w:rsid w:val="00C70D59"/>
    <w:rsid w:val="00C75954"/>
    <w:rsid w:val="00C77F63"/>
    <w:rsid w:val="00C8253F"/>
    <w:rsid w:val="00CA400D"/>
    <w:rsid w:val="00CB0A00"/>
    <w:rsid w:val="00D6386F"/>
    <w:rsid w:val="00D73C01"/>
    <w:rsid w:val="00D77907"/>
    <w:rsid w:val="00D83F97"/>
    <w:rsid w:val="00DA1F57"/>
    <w:rsid w:val="00DB742A"/>
    <w:rsid w:val="00DE2B17"/>
    <w:rsid w:val="00E337FE"/>
    <w:rsid w:val="00E737FC"/>
    <w:rsid w:val="00E94D8A"/>
    <w:rsid w:val="00E96752"/>
    <w:rsid w:val="00E97B4A"/>
    <w:rsid w:val="00EC1D86"/>
    <w:rsid w:val="00ED54F8"/>
    <w:rsid w:val="00ED6AC6"/>
    <w:rsid w:val="00EF1D55"/>
    <w:rsid w:val="00F020E9"/>
    <w:rsid w:val="00F0261F"/>
    <w:rsid w:val="00F15EB4"/>
    <w:rsid w:val="00F20040"/>
    <w:rsid w:val="00F20E70"/>
    <w:rsid w:val="00F23598"/>
    <w:rsid w:val="00F4016A"/>
    <w:rsid w:val="00F55568"/>
    <w:rsid w:val="00F65D5C"/>
    <w:rsid w:val="00F833F3"/>
    <w:rsid w:val="00FB2CA3"/>
    <w:rsid w:val="00FB508B"/>
    <w:rsid w:val="00FD39E8"/>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strokecolor="red"/>
    </o:shapedefaults>
    <o:shapelayout v:ext="edit">
      <o:idmap v:ext="edit" data="1"/>
      <o:rules v:ext="edit">
        <o:r id="V:Rule2"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Mangal"/>
        <w:lang w:val="es-MX" w:eastAsia="es-MX"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Web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0A85"/>
    <w:pPr>
      <w:spacing w:after="200" w:line="276" w:lineRule="auto"/>
    </w:pPr>
    <w:rPr>
      <w:sz w:val="22"/>
      <w:szCs w:val="22"/>
      <w:lang w:eastAsia="en-US" w:bidi="ar-SA"/>
    </w:rPr>
  </w:style>
  <w:style w:type="paragraph" w:styleId="Ttulo2">
    <w:name w:val="heading 2"/>
    <w:basedOn w:val="Normal"/>
    <w:next w:val="Normal"/>
    <w:link w:val="Ttulo2Car"/>
    <w:qFormat/>
    <w:rsid w:val="002E762A"/>
    <w:pPr>
      <w:keepNext/>
      <w:spacing w:before="240" w:after="60" w:line="240" w:lineRule="auto"/>
      <w:outlineLvl w:val="1"/>
    </w:pPr>
    <w:rPr>
      <w:rFonts w:ascii="Arial" w:eastAsia="Times New Roman" w:hAnsi="Arial" w:cs="Arial"/>
      <w:b/>
      <w:bCs/>
      <w:i/>
      <w:iCs/>
      <w:sz w:val="28"/>
      <w:szCs w:val="28"/>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F0261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iedepgina">
    <w:name w:val="footer"/>
    <w:basedOn w:val="Normal"/>
    <w:link w:val="PiedepginaCar"/>
    <w:uiPriority w:val="99"/>
    <w:unhideWhenUsed/>
    <w:rsid w:val="00B348BE"/>
    <w:pPr>
      <w:tabs>
        <w:tab w:val="center" w:pos="4419"/>
        <w:tab w:val="right" w:pos="8838"/>
      </w:tabs>
    </w:pPr>
  </w:style>
  <w:style w:type="character" w:customStyle="1" w:styleId="PiedepginaCar">
    <w:name w:val="Pie de página Car"/>
    <w:basedOn w:val="Fuentedeprrafopredeter"/>
    <w:link w:val="Piedepgina"/>
    <w:uiPriority w:val="99"/>
    <w:rsid w:val="00B348BE"/>
    <w:rPr>
      <w:sz w:val="22"/>
      <w:szCs w:val="22"/>
      <w:lang w:eastAsia="en-US" w:bidi="ar-SA"/>
    </w:rPr>
  </w:style>
  <w:style w:type="paragraph" w:styleId="Textonotapie">
    <w:name w:val="footnote text"/>
    <w:basedOn w:val="Normal"/>
    <w:link w:val="TextonotapieCar"/>
    <w:rsid w:val="00B348BE"/>
    <w:pPr>
      <w:spacing w:after="0" w:line="240" w:lineRule="auto"/>
    </w:pPr>
    <w:rPr>
      <w:rFonts w:ascii="Times New Roman" w:eastAsia="Times New Roman" w:hAnsi="Times New Roman" w:cs="Times New Roman"/>
      <w:sz w:val="20"/>
      <w:szCs w:val="20"/>
      <w:lang w:val="es-ES" w:eastAsia="es-ES"/>
    </w:rPr>
  </w:style>
  <w:style w:type="character" w:customStyle="1" w:styleId="TextonotapieCar">
    <w:name w:val="Texto nota pie Car"/>
    <w:basedOn w:val="Fuentedeprrafopredeter"/>
    <w:link w:val="Textonotapie"/>
    <w:uiPriority w:val="99"/>
    <w:rsid w:val="00B348BE"/>
    <w:rPr>
      <w:rFonts w:ascii="Times New Roman" w:eastAsia="Times New Roman" w:hAnsi="Times New Roman" w:cs="Times New Roman"/>
      <w:lang w:val="es-ES" w:eastAsia="es-ES" w:bidi="ar-SA"/>
    </w:rPr>
  </w:style>
  <w:style w:type="character" w:styleId="Refdenotaalpie">
    <w:name w:val="footnote reference"/>
    <w:basedOn w:val="Fuentedeprrafopredeter"/>
    <w:rsid w:val="00B348BE"/>
    <w:rPr>
      <w:vertAlign w:val="superscript"/>
    </w:rPr>
  </w:style>
  <w:style w:type="paragraph" w:styleId="Textodeglobo">
    <w:name w:val="Balloon Text"/>
    <w:basedOn w:val="Normal"/>
    <w:link w:val="TextodegloboCar"/>
    <w:uiPriority w:val="99"/>
    <w:semiHidden/>
    <w:unhideWhenUsed/>
    <w:rsid w:val="009B17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1733"/>
    <w:rPr>
      <w:rFonts w:ascii="Tahoma" w:hAnsi="Tahoma" w:cs="Tahoma"/>
      <w:sz w:val="16"/>
      <w:szCs w:val="16"/>
      <w:lang w:eastAsia="en-US" w:bidi="ar-SA"/>
    </w:rPr>
  </w:style>
  <w:style w:type="paragraph" w:styleId="Encabezado">
    <w:name w:val="header"/>
    <w:basedOn w:val="Normal"/>
    <w:link w:val="EncabezadoCar"/>
    <w:uiPriority w:val="99"/>
    <w:unhideWhenUsed/>
    <w:rsid w:val="005D494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D4946"/>
    <w:rPr>
      <w:sz w:val="22"/>
      <w:szCs w:val="22"/>
      <w:lang w:eastAsia="en-US" w:bidi="ar-SA"/>
    </w:rPr>
  </w:style>
  <w:style w:type="paragraph" w:customStyle="1" w:styleId="0491BE10DD6848988E9852DCDE3E1607">
    <w:name w:val="0491BE10DD6848988E9852DCDE3E1607"/>
    <w:rsid w:val="005D4946"/>
    <w:pPr>
      <w:spacing w:after="200" w:line="276" w:lineRule="auto"/>
    </w:pPr>
    <w:rPr>
      <w:rFonts w:asciiTheme="minorHAnsi" w:eastAsiaTheme="minorEastAsia" w:hAnsiTheme="minorHAnsi" w:cstheme="minorBidi"/>
      <w:sz w:val="22"/>
      <w:szCs w:val="22"/>
      <w:lang w:val="en-US" w:eastAsia="en-US" w:bidi="ar-SA"/>
    </w:rPr>
  </w:style>
  <w:style w:type="paragraph" w:styleId="Sinespaciado">
    <w:name w:val="No Spacing"/>
    <w:link w:val="SinespaciadoCar"/>
    <w:uiPriority w:val="1"/>
    <w:qFormat/>
    <w:rsid w:val="0024145B"/>
    <w:rPr>
      <w:rFonts w:asciiTheme="minorHAnsi" w:eastAsiaTheme="minorEastAsia" w:hAnsiTheme="minorHAnsi" w:cstheme="minorBidi"/>
      <w:sz w:val="22"/>
      <w:szCs w:val="22"/>
      <w:lang w:val="es-ES" w:eastAsia="en-US" w:bidi="ar-SA"/>
    </w:rPr>
  </w:style>
  <w:style w:type="character" w:customStyle="1" w:styleId="SinespaciadoCar">
    <w:name w:val="Sin espaciado Car"/>
    <w:basedOn w:val="Fuentedeprrafopredeter"/>
    <w:link w:val="Sinespaciado"/>
    <w:uiPriority w:val="1"/>
    <w:rsid w:val="0024145B"/>
    <w:rPr>
      <w:rFonts w:asciiTheme="minorHAnsi" w:eastAsiaTheme="minorEastAsia" w:hAnsiTheme="minorHAnsi" w:cstheme="minorBidi"/>
      <w:sz w:val="22"/>
      <w:szCs w:val="22"/>
      <w:lang w:val="es-ES" w:eastAsia="en-US" w:bidi="ar-SA"/>
    </w:rPr>
  </w:style>
  <w:style w:type="table" w:styleId="TablaWeb2">
    <w:name w:val="Table Web 2"/>
    <w:basedOn w:val="Tablanormal"/>
    <w:rsid w:val="00784CEA"/>
    <w:rPr>
      <w:rFonts w:ascii="Times New Roman" w:eastAsia="Times New Roman" w:hAnsi="Times New Roman" w:cs="Times New Roman"/>
      <w:lang w:bidi="ar-SA"/>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Ttulo2Car">
    <w:name w:val="Título 2 Car"/>
    <w:basedOn w:val="Fuentedeprrafopredeter"/>
    <w:link w:val="Ttulo2"/>
    <w:rsid w:val="002E762A"/>
    <w:rPr>
      <w:rFonts w:ascii="Arial" w:eastAsia="Times New Roman" w:hAnsi="Arial" w:cs="Arial"/>
      <w:b/>
      <w:bCs/>
      <w:i/>
      <w:iCs/>
      <w:sz w:val="28"/>
      <w:szCs w:val="28"/>
      <w:lang w:val="es-ES" w:eastAsia="es-ES" w:bidi="ar-SA"/>
    </w:rPr>
  </w:style>
</w:styles>
</file>

<file path=word/webSettings.xml><?xml version="1.0" encoding="utf-8"?>
<w:webSettings xmlns:r="http://schemas.openxmlformats.org/officeDocument/2006/relationships" xmlns:w="http://schemas.openxmlformats.org/wordprocessingml/2006/main">
  <w:divs>
    <w:div w:id="11538489">
      <w:bodyDiv w:val="1"/>
      <w:marLeft w:val="0"/>
      <w:marRight w:val="0"/>
      <w:marTop w:val="0"/>
      <w:marBottom w:val="0"/>
      <w:divBdr>
        <w:top w:val="none" w:sz="0" w:space="0" w:color="auto"/>
        <w:left w:val="none" w:sz="0" w:space="0" w:color="auto"/>
        <w:bottom w:val="none" w:sz="0" w:space="0" w:color="auto"/>
        <w:right w:val="none" w:sz="0" w:space="0" w:color="auto"/>
      </w:divBdr>
    </w:div>
    <w:div w:id="39984839">
      <w:bodyDiv w:val="1"/>
      <w:marLeft w:val="0"/>
      <w:marRight w:val="0"/>
      <w:marTop w:val="0"/>
      <w:marBottom w:val="0"/>
      <w:divBdr>
        <w:top w:val="none" w:sz="0" w:space="0" w:color="auto"/>
        <w:left w:val="none" w:sz="0" w:space="0" w:color="auto"/>
        <w:bottom w:val="none" w:sz="0" w:space="0" w:color="auto"/>
        <w:right w:val="none" w:sz="0" w:space="0" w:color="auto"/>
      </w:divBdr>
    </w:div>
    <w:div w:id="198661694">
      <w:bodyDiv w:val="1"/>
      <w:marLeft w:val="0"/>
      <w:marRight w:val="0"/>
      <w:marTop w:val="0"/>
      <w:marBottom w:val="0"/>
      <w:divBdr>
        <w:top w:val="none" w:sz="0" w:space="0" w:color="auto"/>
        <w:left w:val="none" w:sz="0" w:space="0" w:color="auto"/>
        <w:bottom w:val="none" w:sz="0" w:space="0" w:color="auto"/>
        <w:right w:val="none" w:sz="0" w:space="0" w:color="auto"/>
      </w:divBdr>
    </w:div>
    <w:div w:id="341251143">
      <w:bodyDiv w:val="1"/>
      <w:marLeft w:val="0"/>
      <w:marRight w:val="0"/>
      <w:marTop w:val="0"/>
      <w:marBottom w:val="0"/>
      <w:divBdr>
        <w:top w:val="none" w:sz="0" w:space="0" w:color="auto"/>
        <w:left w:val="none" w:sz="0" w:space="0" w:color="auto"/>
        <w:bottom w:val="none" w:sz="0" w:space="0" w:color="auto"/>
        <w:right w:val="none" w:sz="0" w:space="0" w:color="auto"/>
      </w:divBdr>
    </w:div>
    <w:div w:id="571349399">
      <w:bodyDiv w:val="1"/>
      <w:marLeft w:val="0"/>
      <w:marRight w:val="0"/>
      <w:marTop w:val="0"/>
      <w:marBottom w:val="0"/>
      <w:divBdr>
        <w:top w:val="none" w:sz="0" w:space="0" w:color="auto"/>
        <w:left w:val="none" w:sz="0" w:space="0" w:color="auto"/>
        <w:bottom w:val="none" w:sz="0" w:space="0" w:color="auto"/>
        <w:right w:val="none" w:sz="0" w:space="0" w:color="auto"/>
      </w:divBdr>
    </w:div>
    <w:div w:id="585307796">
      <w:bodyDiv w:val="1"/>
      <w:marLeft w:val="0"/>
      <w:marRight w:val="0"/>
      <w:marTop w:val="0"/>
      <w:marBottom w:val="0"/>
      <w:divBdr>
        <w:top w:val="none" w:sz="0" w:space="0" w:color="auto"/>
        <w:left w:val="none" w:sz="0" w:space="0" w:color="auto"/>
        <w:bottom w:val="none" w:sz="0" w:space="0" w:color="auto"/>
        <w:right w:val="none" w:sz="0" w:space="0" w:color="auto"/>
      </w:divBdr>
    </w:div>
    <w:div w:id="685865975">
      <w:bodyDiv w:val="1"/>
      <w:marLeft w:val="0"/>
      <w:marRight w:val="0"/>
      <w:marTop w:val="0"/>
      <w:marBottom w:val="0"/>
      <w:divBdr>
        <w:top w:val="none" w:sz="0" w:space="0" w:color="auto"/>
        <w:left w:val="none" w:sz="0" w:space="0" w:color="auto"/>
        <w:bottom w:val="none" w:sz="0" w:space="0" w:color="auto"/>
        <w:right w:val="none" w:sz="0" w:space="0" w:color="auto"/>
      </w:divBdr>
    </w:div>
    <w:div w:id="773940562">
      <w:bodyDiv w:val="1"/>
      <w:marLeft w:val="0"/>
      <w:marRight w:val="0"/>
      <w:marTop w:val="0"/>
      <w:marBottom w:val="0"/>
      <w:divBdr>
        <w:top w:val="none" w:sz="0" w:space="0" w:color="auto"/>
        <w:left w:val="none" w:sz="0" w:space="0" w:color="auto"/>
        <w:bottom w:val="none" w:sz="0" w:space="0" w:color="auto"/>
        <w:right w:val="none" w:sz="0" w:space="0" w:color="auto"/>
      </w:divBdr>
    </w:div>
    <w:div w:id="776873244">
      <w:bodyDiv w:val="1"/>
      <w:marLeft w:val="0"/>
      <w:marRight w:val="0"/>
      <w:marTop w:val="0"/>
      <w:marBottom w:val="0"/>
      <w:divBdr>
        <w:top w:val="none" w:sz="0" w:space="0" w:color="auto"/>
        <w:left w:val="none" w:sz="0" w:space="0" w:color="auto"/>
        <w:bottom w:val="none" w:sz="0" w:space="0" w:color="auto"/>
        <w:right w:val="none" w:sz="0" w:space="0" w:color="auto"/>
      </w:divBdr>
    </w:div>
    <w:div w:id="805008496">
      <w:bodyDiv w:val="1"/>
      <w:marLeft w:val="0"/>
      <w:marRight w:val="0"/>
      <w:marTop w:val="0"/>
      <w:marBottom w:val="0"/>
      <w:divBdr>
        <w:top w:val="none" w:sz="0" w:space="0" w:color="auto"/>
        <w:left w:val="none" w:sz="0" w:space="0" w:color="auto"/>
        <w:bottom w:val="none" w:sz="0" w:space="0" w:color="auto"/>
        <w:right w:val="none" w:sz="0" w:space="0" w:color="auto"/>
      </w:divBdr>
    </w:div>
    <w:div w:id="901019139">
      <w:bodyDiv w:val="1"/>
      <w:marLeft w:val="0"/>
      <w:marRight w:val="0"/>
      <w:marTop w:val="0"/>
      <w:marBottom w:val="0"/>
      <w:divBdr>
        <w:top w:val="none" w:sz="0" w:space="0" w:color="auto"/>
        <w:left w:val="none" w:sz="0" w:space="0" w:color="auto"/>
        <w:bottom w:val="none" w:sz="0" w:space="0" w:color="auto"/>
        <w:right w:val="none" w:sz="0" w:space="0" w:color="auto"/>
      </w:divBdr>
    </w:div>
    <w:div w:id="1106343294">
      <w:bodyDiv w:val="1"/>
      <w:marLeft w:val="0"/>
      <w:marRight w:val="0"/>
      <w:marTop w:val="0"/>
      <w:marBottom w:val="0"/>
      <w:divBdr>
        <w:top w:val="none" w:sz="0" w:space="0" w:color="auto"/>
        <w:left w:val="none" w:sz="0" w:space="0" w:color="auto"/>
        <w:bottom w:val="none" w:sz="0" w:space="0" w:color="auto"/>
        <w:right w:val="none" w:sz="0" w:space="0" w:color="auto"/>
      </w:divBdr>
    </w:div>
    <w:div w:id="1219051320">
      <w:bodyDiv w:val="1"/>
      <w:marLeft w:val="0"/>
      <w:marRight w:val="0"/>
      <w:marTop w:val="0"/>
      <w:marBottom w:val="0"/>
      <w:divBdr>
        <w:top w:val="none" w:sz="0" w:space="0" w:color="auto"/>
        <w:left w:val="none" w:sz="0" w:space="0" w:color="auto"/>
        <w:bottom w:val="none" w:sz="0" w:space="0" w:color="auto"/>
        <w:right w:val="none" w:sz="0" w:space="0" w:color="auto"/>
      </w:divBdr>
    </w:div>
    <w:div w:id="1275939426">
      <w:bodyDiv w:val="1"/>
      <w:marLeft w:val="0"/>
      <w:marRight w:val="0"/>
      <w:marTop w:val="0"/>
      <w:marBottom w:val="0"/>
      <w:divBdr>
        <w:top w:val="none" w:sz="0" w:space="0" w:color="auto"/>
        <w:left w:val="none" w:sz="0" w:space="0" w:color="auto"/>
        <w:bottom w:val="none" w:sz="0" w:space="0" w:color="auto"/>
        <w:right w:val="none" w:sz="0" w:space="0" w:color="auto"/>
      </w:divBdr>
    </w:div>
    <w:div w:id="1430924715">
      <w:bodyDiv w:val="1"/>
      <w:marLeft w:val="0"/>
      <w:marRight w:val="0"/>
      <w:marTop w:val="0"/>
      <w:marBottom w:val="0"/>
      <w:divBdr>
        <w:top w:val="none" w:sz="0" w:space="0" w:color="auto"/>
        <w:left w:val="none" w:sz="0" w:space="0" w:color="auto"/>
        <w:bottom w:val="none" w:sz="0" w:space="0" w:color="auto"/>
        <w:right w:val="none" w:sz="0" w:space="0" w:color="auto"/>
      </w:divBdr>
    </w:div>
    <w:div w:id="1484546171">
      <w:bodyDiv w:val="1"/>
      <w:marLeft w:val="0"/>
      <w:marRight w:val="0"/>
      <w:marTop w:val="0"/>
      <w:marBottom w:val="0"/>
      <w:divBdr>
        <w:top w:val="none" w:sz="0" w:space="0" w:color="auto"/>
        <w:left w:val="none" w:sz="0" w:space="0" w:color="auto"/>
        <w:bottom w:val="none" w:sz="0" w:space="0" w:color="auto"/>
        <w:right w:val="none" w:sz="0" w:space="0" w:color="auto"/>
      </w:divBdr>
    </w:div>
    <w:div w:id="1536194450">
      <w:bodyDiv w:val="1"/>
      <w:marLeft w:val="0"/>
      <w:marRight w:val="0"/>
      <w:marTop w:val="0"/>
      <w:marBottom w:val="0"/>
      <w:divBdr>
        <w:top w:val="none" w:sz="0" w:space="0" w:color="auto"/>
        <w:left w:val="none" w:sz="0" w:space="0" w:color="auto"/>
        <w:bottom w:val="none" w:sz="0" w:space="0" w:color="auto"/>
        <w:right w:val="none" w:sz="0" w:space="0" w:color="auto"/>
      </w:divBdr>
    </w:div>
    <w:div w:id="1566647831">
      <w:bodyDiv w:val="1"/>
      <w:marLeft w:val="0"/>
      <w:marRight w:val="0"/>
      <w:marTop w:val="0"/>
      <w:marBottom w:val="0"/>
      <w:divBdr>
        <w:top w:val="none" w:sz="0" w:space="0" w:color="auto"/>
        <w:left w:val="none" w:sz="0" w:space="0" w:color="auto"/>
        <w:bottom w:val="none" w:sz="0" w:space="0" w:color="auto"/>
        <w:right w:val="none" w:sz="0" w:space="0" w:color="auto"/>
      </w:divBdr>
    </w:div>
    <w:div w:id="1703901832">
      <w:bodyDiv w:val="1"/>
      <w:marLeft w:val="0"/>
      <w:marRight w:val="0"/>
      <w:marTop w:val="0"/>
      <w:marBottom w:val="0"/>
      <w:divBdr>
        <w:top w:val="none" w:sz="0" w:space="0" w:color="auto"/>
        <w:left w:val="none" w:sz="0" w:space="0" w:color="auto"/>
        <w:bottom w:val="none" w:sz="0" w:space="0" w:color="auto"/>
        <w:right w:val="none" w:sz="0" w:space="0" w:color="auto"/>
      </w:divBdr>
    </w:div>
    <w:div w:id="1768690327">
      <w:bodyDiv w:val="1"/>
      <w:marLeft w:val="0"/>
      <w:marRight w:val="0"/>
      <w:marTop w:val="0"/>
      <w:marBottom w:val="0"/>
      <w:divBdr>
        <w:top w:val="none" w:sz="0" w:space="0" w:color="auto"/>
        <w:left w:val="none" w:sz="0" w:space="0" w:color="auto"/>
        <w:bottom w:val="none" w:sz="0" w:space="0" w:color="auto"/>
        <w:right w:val="none" w:sz="0" w:space="0" w:color="auto"/>
      </w:divBdr>
    </w:div>
    <w:div w:id="1774475783">
      <w:bodyDiv w:val="1"/>
      <w:marLeft w:val="0"/>
      <w:marRight w:val="0"/>
      <w:marTop w:val="0"/>
      <w:marBottom w:val="0"/>
      <w:divBdr>
        <w:top w:val="none" w:sz="0" w:space="0" w:color="auto"/>
        <w:left w:val="none" w:sz="0" w:space="0" w:color="auto"/>
        <w:bottom w:val="none" w:sz="0" w:space="0" w:color="auto"/>
        <w:right w:val="none" w:sz="0" w:space="0" w:color="auto"/>
      </w:divBdr>
    </w:div>
    <w:div w:id="1789546354">
      <w:bodyDiv w:val="1"/>
      <w:marLeft w:val="0"/>
      <w:marRight w:val="0"/>
      <w:marTop w:val="0"/>
      <w:marBottom w:val="0"/>
      <w:divBdr>
        <w:top w:val="none" w:sz="0" w:space="0" w:color="auto"/>
        <w:left w:val="none" w:sz="0" w:space="0" w:color="auto"/>
        <w:bottom w:val="none" w:sz="0" w:space="0" w:color="auto"/>
        <w:right w:val="none" w:sz="0" w:space="0" w:color="auto"/>
      </w:divBdr>
    </w:div>
    <w:div w:id="1858961389">
      <w:bodyDiv w:val="1"/>
      <w:marLeft w:val="0"/>
      <w:marRight w:val="0"/>
      <w:marTop w:val="0"/>
      <w:marBottom w:val="0"/>
      <w:divBdr>
        <w:top w:val="none" w:sz="0" w:space="0" w:color="auto"/>
        <w:left w:val="none" w:sz="0" w:space="0" w:color="auto"/>
        <w:bottom w:val="none" w:sz="0" w:space="0" w:color="auto"/>
        <w:right w:val="none" w:sz="0" w:space="0" w:color="auto"/>
      </w:divBdr>
    </w:div>
    <w:div w:id="1899437450">
      <w:bodyDiv w:val="1"/>
      <w:marLeft w:val="0"/>
      <w:marRight w:val="0"/>
      <w:marTop w:val="0"/>
      <w:marBottom w:val="0"/>
      <w:divBdr>
        <w:top w:val="none" w:sz="0" w:space="0" w:color="auto"/>
        <w:left w:val="none" w:sz="0" w:space="0" w:color="auto"/>
        <w:bottom w:val="none" w:sz="0" w:space="0" w:color="auto"/>
        <w:right w:val="none" w:sz="0" w:space="0" w:color="auto"/>
      </w:divBdr>
    </w:div>
    <w:div w:id="1963730093">
      <w:bodyDiv w:val="1"/>
      <w:marLeft w:val="0"/>
      <w:marRight w:val="0"/>
      <w:marTop w:val="0"/>
      <w:marBottom w:val="0"/>
      <w:divBdr>
        <w:top w:val="none" w:sz="0" w:space="0" w:color="auto"/>
        <w:left w:val="none" w:sz="0" w:space="0" w:color="auto"/>
        <w:bottom w:val="none" w:sz="0" w:space="0" w:color="auto"/>
        <w:right w:val="none" w:sz="0" w:space="0" w:color="auto"/>
      </w:divBdr>
    </w:div>
    <w:div w:id="2016572668">
      <w:bodyDiv w:val="1"/>
      <w:marLeft w:val="0"/>
      <w:marRight w:val="0"/>
      <w:marTop w:val="0"/>
      <w:marBottom w:val="0"/>
      <w:divBdr>
        <w:top w:val="none" w:sz="0" w:space="0" w:color="auto"/>
        <w:left w:val="none" w:sz="0" w:space="0" w:color="auto"/>
        <w:bottom w:val="none" w:sz="0" w:space="0" w:color="auto"/>
        <w:right w:val="none" w:sz="0" w:space="0" w:color="auto"/>
      </w:divBdr>
    </w:div>
    <w:div w:id="2029677313">
      <w:bodyDiv w:val="1"/>
      <w:marLeft w:val="0"/>
      <w:marRight w:val="0"/>
      <w:marTop w:val="0"/>
      <w:marBottom w:val="0"/>
      <w:divBdr>
        <w:top w:val="none" w:sz="0" w:space="0" w:color="auto"/>
        <w:left w:val="none" w:sz="0" w:space="0" w:color="auto"/>
        <w:bottom w:val="none" w:sz="0" w:space="0" w:color="auto"/>
        <w:right w:val="none" w:sz="0" w:space="0" w:color="auto"/>
      </w:divBdr>
    </w:div>
    <w:div w:id="2052919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0.xml"/><Relationship Id="rId21" Type="http://schemas.openxmlformats.org/officeDocument/2006/relationships/chart" Target="charts/chart5.xml"/><Relationship Id="rId42" Type="http://schemas.openxmlformats.org/officeDocument/2006/relationships/chart" Target="charts/chart25.xml"/><Relationship Id="rId47" Type="http://schemas.openxmlformats.org/officeDocument/2006/relationships/chart" Target="charts/chart30.xml"/><Relationship Id="rId63" Type="http://schemas.openxmlformats.org/officeDocument/2006/relationships/chart" Target="charts/chart46.xml"/><Relationship Id="rId68" Type="http://schemas.openxmlformats.org/officeDocument/2006/relationships/chart" Target="charts/chart51.xml"/><Relationship Id="rId84" Type="http://schemas.openxmlformats.org/officeDocument/2006/relationships/chart" Target="charts/chart67.xml"/><Relationship Id="rId89" Type="http://schemas.openxmlformats.org/officeDocument/2006/relationships/chart" Target="charts/chart72.xml"/><Relationship Id="rId112" Type="http://schemas.openxmlformats.org/officeDocument/2006/relationships/image" Target="media/image13.emf"/><Relationship Id="rId16" Type="http://schemas.openxmlformats.org/officeDocument/2006/relationships/chart" Target="charts/chart2.xml"/><Relationship Id="rId107" Type="http://schemas.openxmlformats.org/officeDocument/2006/relationships/chart" Target="charts/chart90.xml"/><Relationship Id="rId11" Type="http://schemas.openxmlformats.org/officeDocument/2006/relationships/image" Target="media/image4.png"/><Relationship Id="rId24" Type="http://schemas.openxmlformats.org/officeDocument/2006/relationships/chart" Target="charts/chart8.xml"/><Relationship Id="rId32" Type="http://schemas.openxmlformats.org/officeDocument/2006/relationships/chart" Target="charts/chart16.xml"/><Relationship Id="rId37" Type="http://schemas.openxmlformats.org/officeDocument/2006/relationships/image" Target="media/image11.emf"/><Relationship Id="rId40" Type="http://schemas.openxmlformats.org/officeDocument/2006/relationships/chart" Target="charts/chart23.xml"/><Relationship Id="rId45" Type="http://schemas.openxmlformats.org/officeDocument/2006/relationships/chart" Target="charts/chart28.xml"/><Relationship Id="rId53" Type="http://schemas.openxmlformats.org/officeDocument/2006/relationships/chart" Target="charts/chart36.xml"/><Relationship Id="rId58" Type="http://schemas.openxmlformats.org/officeDocument/2006/relationships/chart" Target="charts/chart41.xml"/><Relationship Id="rId66" Type="http://schemas.openxmlformats.org/officeDocument/2006/relationships/chart" Target="charts/chart49.xml"/><Relationship Id="rId74" Type="http://schemas.openxmlformats.org/officeDocument/2006/relationships/chart" Target="charts/chart57.xml"/><Relationship Id="rId79" Type="http://schemas.openxmlformats.org/officeDocument/2006/relationships/chart" Target="charts/chart62.xml"/><Relationship Id="rId87" Type="http://schemas.openxmlformats.org/officeDocument/2006/relationships/chart" Target="charts/chart70.xml"/><Relationship Id="rId102" Type="http://schemas.openxmlformats.org/officeDocument/2006/relationships/chart" Target="charts/chart85.xml"/><Relationship Id="rId110" Type="http://schemas.openxmlformats.org/officeDocument/2006/relationships/chart" Target="charts/chart93.xml"/><Relationship Id="rId115"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hart" Target="charts/chart44.xml"/><Relationship Id="rId82" Type="http://schemas.openxmlformats.org/officeDocument/2006/relationships/chart" Target="charts/chart65.xml"/><Relationship Id="rId90" Type="http://schemas.openxmlformats.org/officeDocument/2006/relationships/chart" Target="charts/chart73.xml"/><Relationship Id="rId95" Type="http://schemas.openxmlformats.org/officeDocument/2006/relationships/chart" Target="charts/chart78.xml"/><Relationship Id="rId19" Type="http://schemas.openxmlformats.org/officeDocument/2006/relationships/image" Target="media/image8.png"/><Relationship Id="rId14" Type="http://schemas.openxmlformats.org/officeDocument/2006/relationships/image" Target="media/image7.png"/><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chart" Target="charts/chart14.xml"/><Relationship Id="rId35" Type="http://schemas.openxmlformats.org/officeDocument/2006/relationships/chart" Target="charts/chart19.xml"/><Relationship Id="rId43" Type="http://schemas.openxmlformats.org/officeDocument/2006/relationships/chart" Target="charts/chart26.xml"/><Relationship Id="rId48" Type="http://schemas.openxmlformats.org/officeDocument/2006/relationships/chart" Target="charts/chart31.xml"/><Relationship Id="rId56" Type="http://schemas.openxmlformats.org/officeDocument/2006/relationships/chart" Target="charts/chart39.xml"/><Relationship Id="rId64" Type="http://schemas.openxmlformats.org/officeDocument/2006/relationships/chart" Target="charts/chart47.xml"/><Relationship Id="rId69" Type="http://schemas.openxmlformats.org/officeDocument/2006/relationships/chart" Target="charts/chart52.xml"/><Relationship Id="rId77" Type="http://schemas.openxmlformats.org/officeDocument/2006/relationships/chart" Target="charts/chart60.xml"/><Relationship Id="rId100" Type="http://schemas.openxmlformats.org/officeDocument/2006/relationships/chart" Target="charts/chart83.xml"/><Relationship Id="rId105" Type="http://schemas.openxmlformats.org/officeDocument/2006/relationships/chart" Target="charts/chart88.xml"/><Relationship Id="rId113" Type="http://schemas.openxmlformats.org/officeDocument/2006/relationships/header" Target="header1.xml"/><Relationship Id="rId8" Type="http://schemas.openxmlformats.org/officeDocument/2006/relationships/image" Target="media/image1.emf"/><Relationship Id="rId51" Type="http://schemas.openxmlformats.org/officeDocument/2006/relationships/chart" Target="charts/chart34.xml"/><Relationship Id="rId72" Type="http://schemas.openxmlformats.org/officeDocument/2006/relationships/chart" Target="charts/chart55.xml"/><Relationship Id="rId80" Type="http://schemas.openxmlformats.org/officeDocument/2006/relationships/chart" Target="charts/chart63.xml"/><Relationship Id="rId85" Type="http://schemas.openxmlformats.org/officeDocument/2006/relationships/chart" Target="charts/chart68.xml"/><Relationship Id="rId93" Type="http://schemas.openxmlformats.org/officeDocument/2006/relationships/chart" Target="charts/chart76.xml"/><Relationship Id="rId98" Type="http://schemas.openxmlformats.org/officeDocument/2006/relationships/chart" Target="charts/chart8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chart" Target="charts/chart9.xml"/><Relationship Id="rId33" Type="http://schemas.openxmlformats.org/officeDocument/2006/relationships/chart" Target="charts/chart17.xml"/><Relationship Id="rId38" Type="http://schemas.openxmlformats.org/officeDocument/2006/relationships/chart" Target="charts/chart21.xml"/><Relationship Id="rId46" Type="http://schemas.openxmlformats.org/officeDocument/2006/relationships/chart" Target="charts/chart29.xml"/><Relationship Id="rId59" Type="http://schemas.openxmlformats.org/officeDocument/2006/relationships/chart" Target="charts/chart42.xml"/><Relationship Id="rId67" Type="http://schemas.openxmlformats.org/officeDocument/2006/relationships/chart" Target="charts/chart50.xml"/><Relationship Id="rId103" Type="http://schemas.openxmlformats.org/officeDocument/2006/relationships/chart" Target="charts/chart86.xml"/><Relationship Id="rId108" Type="http://schemas.openxmlformats.org/officeDocument/2006/relationships/chart" Target="charts/chart91.xml"/><Relationship Id="rId116"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chart" Target="charts/chart24.xml"/><Relationship Id="rId54" Type="http://schemas.openxmlformats.org/officeDocument/2006/relationships/chart" Target="charts/chart37.xml"/><Relationship Id="rId62" Type="http://schemas.openxmlformats.org/officeDocument/2006/relationships/chart" Target="charts/chart45.xml"/><Relationship Id="rId70" Type="http://schemas.openxmlformats.org/officeDocument/2006/relationships/chart" Target="charts/chart53.xml"/><Relationship Id="rId75" Type="http://schemas.openxmlformats.org/officeDocument/2006/relationships/chart" Target="charts/chart58.xml"/><Relationship Id="rId83" Type="http://schemas.openxmlformats.org/officeDocument/2006/relationships/chart" Target="charts/chart66.xml"/><Relationship Id="rId88" Type="http://schemas.openxmlformats.org/officeDocument/2006/relationships/chart" Target="charts/chart71.xml"/><Relationship Id="rId91" Type="http://schemas.openxmlformats.org/officeDocument/2006/relationships/chart" Target="charts/chart74.xml"/><Relationship Id="rId96" Type="http://schemas.openxmlformats.org/officeDocument/2006/relationships/chart" Target="charts/chart79.xml"/><Relationship Id="rId111"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chart" Target="charts/chart7.xml"/><Relationship Id="rId28" Type="http://schemas.openxmlformats.org/officeDocument/2006/relationships/chart" Target="charts/chart12.xml"/><Relationship Id="rId36" Type="http://schemas.openxmlformats.org/officeDocument/2006/relationships/chart" Target="charts/chart20.xml"/><Relationship Id="rId49" Type="http://schemas.openxmlformats.org/officeDocument/2006/relationships/chart" Target="charts/chart32.xml"/><Relationship Id="rId57" Type="http://schemas.openxmlformats.org/officeDocument/2006/relationships/chart" Target="charts/chart40.xml"/><Relationship Id="rId106" Type="http://schemas.openxmlformats.org/officeDocument/2006/relationships/chart" Target="charts/chart89.xml"/><Relationship Id="rId114" Type="http://schemas.openxmlformats.org/officeDocument/2006/relationships/footer" Target="footer1.xml"/><Relationship Id="rId10" Type="http://schemas.openxmlformats.org/officeDocument/2006/relationships/image" Target="media/image3.png"/><Relationship Id="rId31" Type="http://schemas.openxmlformats.org/officeDocument/2006/relationships/chart" Target="charts/chart15.xml"/><Relationship Id="rId44" Type="http://schemas.openxmlformats.org/officeDocument/2006/relationships/chart" Target="charts/chart27.xml"/><Relationship Id="rId52" Type="http://schemas.openxmlformats.org/officeDocument/2006/relationships/chart" Target="charts/chart35.xml"/><Relationship Id="rId60" Type="http://schemas.openxmlformats.org/officeDocument/2006/relationships/chart" Target="charts/chart43.xml"/><Relationship Id="rId65" Type="http://schemas.openxmlformats.org/officeDocument/2006/relationships/chart" Target="charts/chart48.xml"/><Relationship Id="rId73" Type="http://schemas.openxmlformats.org/officeDocument/2006/relationships/chart" Target="charts/chart56.xml"/><Relationship Id="rId78" Type="http://schemas.openxmlformats.org/officeDocument/2006/relationships/chart" Target="charts/chart61.xml"/><Relationship Id="rId81" Type="http://schemas.openxmlformats.org/officeDocument/2006/relationships/chart" Target="charts/chart64.xml"/><Relationship Id="rId86" Type="http://schemas.openxmlformats.org/officeDocument/2006/relationships/chart" Target="charts/chart69.xml"/><Relationship Id="rId94" Type="http://schemas.openxmlformats.org/officeDocument/2006/relationships/chart" Target="charts/chart77.xml"/><Relationship Id="rId99" Type="http://schemas.openxmlformats.org/officeDocument/2006/relationships/chart" Target="charts/chart82.xml"/><Relationship Id="rId101" Type="http://schemas.openxmlformats.org/officeDocument/2006/relationships/chart" Target="charts/chart84.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chart" Target="charts/chart4.xml"/><Relationship Id="rId39" Type="http://schemas.openxmlformats.org/officeDocument/2006/relationships/chart" Target="charts/chart22.xml"/><Relationship Id="rId109" Type="http://schemas.openxmlformats.org/officeDocument/2006/relationships/chart" Target="charts/chart92.xml"/><Relationship Id="rId34" Type="http://schemas.openxmlformats.org/officeDocument/2006/relationships/chart" Target="charts/chart18.xml"/><Relationship Id="rId50" Type="http://schemas.openxmlformats.org/officeDocument/2006/relationships/chart" Target="charts/chart33.xml"/><Relationship Id="rId55" Type="http://schemas.openxmlformats.org/officeDocument/2006/relationships/chart" Target="charts/chart38.xml"/><Relationship Id="rId76" Type="http://schemas.openxmlformats.org/officeDocument/2006/relationships/chart" Target="charts/chart59.xml"/><Relationship Id="rId97" Type="http://schemas.openxmlformats.org/officeDocument/2006/relationships/chart" Target="charts/chart80.xml"/><Relationship Id="rId104" Type="http://schemas.openxmlformats.org/officeDocument/2006/relationships/chart" Target="charts/chart87.xml"/><Relationship Id="rId7" Type="http://schemas.openxmlformats.org/officeDocument/2006/relationships/endnotes" Target="endnotes.xml"/><Relationship Id="rId71" Type="http://schemas.openxmlformats.org/officeDocument/2006/relationships/chart" Target="charts/chart54.xml"/><Relationship Id="rId92" Type="http://schemas.openxmlformats.org/officeDocument/2006/relationships/chart" Target="charts/chart75.xml"/><Relationship Id="rId2" Type="http://schemas.openxmlformats.org/officeDocument/2006/relationships/numbering" Target="numbering.xml"/><Relationship Id="rId29" Type="http://schemas.openxmlformats.org/officeDocument/2006/relationships/chart" Target="charts/chart13.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Isela%20Flores\Documents\SERVICIO%20SOCIAL\FACTORES%20DEMOGRAFICOS.xls"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Isela%20Flores\Documents\SERVICIO%20SOCIAL\FACTORES%20DEMOGRAFICOS.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Isela%20Flores\AppData\Roaming\Microsoft\Excel\FACTORES%20DEMOGRAFICOS%20(version%201).xls"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202.xls"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C:\Users\ADRIANA\Desktop\Cap&#237;tulo%202.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C:\Users\ADRIANA\Desktop\Documents\S.S\Analisis%20del%20municipio%20de%20veracruz\LA%20ECONOMIA%20MUNICIPAL.%20VERACRUZ.xls"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C:\Users\ADRIANA\Desktop\Documentos\Servicio%20Social\Analisis%20del%20municipio%20de%20veracruz\LA%20ECONOMIA%20MUNICIPAL.%20VERACRUZ.xlsx"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F:\coeficiente%20de%20productividad%20del%20sector%20servicios.xlsx"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58.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59.xml.rels><?xml version="1.0" encoding="UTF-8" standalone="yes"?>
<Relationships xmlns="http://schemas.openxmlformats.org/package/2006/relationships"><Relationship Id="rId1" Type="http://schemas.openxmlformats.org/officeDocument/2006/relationships/oleObject" Target="file:///C:\Users\Isela%20Flores\Documents\Mis%20archivos%20recibidos\Indice%20de%20Ventas%20de%20Coatzacoalcos%20y%20Veracruz.xlsx" TargetMode="External"/></Relationships>
</file>

<file path=word/charts/_rels/chart60.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61.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62.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63.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64.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65.xml.rels><?xml version="1.0" encoding="UTF-8" standalone="yes"?>
<Relationships xmlns="http://schemas.openxmlformats.org/package/2006/relationships"><Relationship Id="rId1" Type="http://schemas.openxmlformats.org/officeDocument/2006/relationships/oleObject" Target="file:///C:\Users\Isela%20Flores\Documents\Anuarios2.xlsx" TargetMode="External"/></Relationships>
</file>

<file path=word/charts/_rels/chart66.xml.rels><?xml version="1.0" encoding="UTF-8" standalone="yes"?>
<Relationships xmlns="http://schemas.openxmlformats.org/package/2006/relationships"><Relationship Id="rId1" Type="http://schemas.openxmlformats.org/officeDocument/2006/relationships/oleObject" Target="file:///C:\Users\Isela%20Flores\Documents\Anuarios2.xlsx" TargetMode="External"/></Relationships>
</file>

<file path=word/charts/_rels/chart67.xml.rels><?xml version="1.0" encoding="UTF-8" standalone="yes"?>
<Relationships xmlns="http://schemas.openxmlformats.org/package/2006/relationships"><Relationship Id="rId1" Type="http://schemas.openxmlformats.org/officeDocument/2006/relationships/oleObject" Target="file:///C:\Users\ADRIANA\Desktop\Documentos\Servicio%20Social\Analisis%20del%20municipio%20de%20veracruz\nuevo.xlsx" TargetMode="External"/></Relationships>
</file>

<file path=word/charts/_rels/chart6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Isela%20Flores\AppData\Local\Microsoft\Windows\Temporary%20Internet%20Files\Low\Content.IE5\23V6CVN6\personas_por_sucursal_de_la_banca%5b1%5d.xlsx" TargetMode="External"/></Relationships>
</file>

<file path=word/charts/_rels/chart69.xml.rels><?xml version="1.0" encoding="UTF-8" standalone="yes"?>
<Relationships xmlns="http://schemas.openxmlformats.org/package/2006/relationships"><Relationship Id="rId1" Type="http://schemas.openxmlformats.org/officeDocument/2006/relationships/oleObject" Target="file:///C:\Users\Isela%20Flores\Documents\SERVICIO%20SOCIAL\La%20Econom&#237;a%20Municipal.xls" TargetMode="External"/></Relationships>
</file>

<file path=word/charts/_rels/chart70.xml.rels><?xml version="1.0" encoding="UTF-8" standalone="yes"?>
<Relationships xmlns="http://schemas.openxmlformats.org/package/2006/relationships"><Relationship Id="rId1" Type="http://schemas.openxmlformats.org/officeDocument/2006/relationships/oleObject" Target="file:///C:\Users\Isela%20Flores\Documents\Anuarios2.xlsx" TargetMode="External"/></Relationships>
</file>

<file path=word/charts/_rels/chart71.xml.rels><?xml version="1.0" encoding="UTF-8" standalone="yes"?>
<Relationships xmlns="http://schemas.openxmlformats.org/package/2006/relationships"><Relationship Id="rId1" Type="http://schemas.openxmlformats.org/officeDocument/2006/relationships/oleObject" Target="file:///C:\Users\Isela%20Flores\Documents\Mis%20archivos%20recibidos\GRAFICAS%20PER%20CAPITA.xlsx" TargetMode="External"/></Relationships>
</file>

<file path=word/charts/_rels/chart72.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Isela%20Flores\Documents\Anuarios2.xlsx" TargetMode="External"/></Relationships>
</file>

<file path=word/charts/_rels/chart73.xml.rels><?xml version="1.0" encoding="UTF-8" standalone="yes"?>
<Relationships xmlns="http://schemas.openxmlformats.org/package/2006/relationships"><Relationship Id="rId1" Type="http://schemas.openxmlformats.org/officeDocument/2006/relationships/oleObject" Target="file:///C:\Users\Isela%20Flores\Documents\SERVICIO%20SOCIAL\FACTORES%20DEMOGRAFICOS.xls" TargetMode="External"/></Relationships>
</file>

<file path=word/charts/_rels/chart74.xml.rels><?xml version="1.0" encoding="UTF-8" standalone="yes"?>
<Relationships xmlns="http://schemas.openxmlformats.org/package/2006/relationships"><Relationship Id="rId1" Type="http://schemas.openxmlformats.org/officeDocument/2006/relationships/oleObject" Target="file:///C:\Users\Isela%20Flores\Documents\Anuario%201.xlsx" TargetMode="External"/></Relationships>
</file>

<file path=word/charts/_rels/chart75.xml.rels><?xml version="1.0" encoding="UTF-8" standalone="yes"?>
<Relationships xmlns="http://schemas.openxmlformats.org/package/2006/relationships"><Relationship Id="rId1" Type="http://schemas.openxmlformats.org/officeDocument/2006/relationships/oleObject" Target="file:///C:\Users\Isela%20Flores\Documents\Anuario%201.xlsx" TargetMode="External"/></Relationships>
</file>

<file path=word/charts/_rels/chart76.xml.rels><?xml version="1.0" encoding="UTF-8" standalone="yes"?>
<Relationships xmlns="http://schemas.openxmlformats.org/package/2006/relationships"><Relationship Id="rId1" Type="http://schemas.openxmlformats.org/officeDocument/2006/relationships/oleObject" Target="file:///C:\Users\Isela%20Flores\Documents\Anuario%201.xlsx" TargetMode="External"/></Relationships>
</file>

<file path=word/charts/_rels/chart77.xml.rels><?xml version="1.0" encoding="UTF-8" standalone="yes"?>
<Relationships xmlns="http://schemas.openxmlformats.org/package/2006/relationships"><Relationship Id="rId1" Type="http://schemas.openxmlformats.org/officeDocument/2006/relationships/oleObject" Target="file:///C:\Users\Isela%20Flores\Documents\Anuario%201.xlsx" TargetMode="External"/></Relationships>
</file>

<file path=word/charts/_rels/chart78.xml.rels><?xml version="1.0" encoding="UTF-8" standalone="yes"?>
<Relationships xmlns="http://schemas.openxmlformats.org/package/2006/relationships"><Relationship Id="rId1" Type="http://schemas.openxmlformats.org/officeDocument/2006/relationships/oleObject" Target="file:///C:\Users\Isela%20Flores\Documents\Anuario%201.xlsx" TargetMode="External"/></Relationships>
</file>

<file path=word/charts/_rels/chart79.xml.rels><?xml version="1.0" encoding="UTF-8" standalone="yes"?>
<Relationships xmlns="http://schemas.openxmlformats.org/package/2006/relationships"><Relationship Id="rId1" Type="http://schemas.openxmlformats.org/officeDocument/2006/relationships/oleObject" Target="file:///C:\Users\Isela%20Flores\Documents\Mis%20archivos%20recibidos\anuarios.xlsx" TargetMode="External"/></Relationships>
</file>

<file path=word/charts/_rels/chart80.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1.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2.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3.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4.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5.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6.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7.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88.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xlsx" TargetMode="External"/></Relationships>
</file>

<file path=word/charts/_rels/chart89.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90.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91.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92.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_rels/chart93.xml.rels><?xml version="1.0" encoding="UTF-8" standalone="yes"?>
<Relationships xmlns="http://schemas.openxmlformats.org/package/2006/relationships"><Relationship Id="rId1" Type="http://schemas.openxmlformats.org/officeDocument/2006/relationships/oleObject" Target="file:///C:\Users\Isela%20Flores\Documents\SERVICIO%20SOCIAL\La%20Hacienda%20%20P&#250;blica%20Municipal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Calibri"/>
                <a:ea typeface="Calibri"/>
                <a:cs typeface="Calibri"/>
              </a:defRPr>
            </a:pPr>
            <a:r>
              <a:rPr lang="es-MX" sz="1000" b="0" i="0" strike="noStrike">
                <a:solidFill>
                  <a:srgbClr val="000000"/>
                </a:solidFill>
                <a:latin typeface="Arial"/>
                <a:cs typeface="Arial"/>
              </a:rPr>
              <a:t>COATZACOALCOS. POBLACIÓN TOTAL. 1970-2005</a:t>
            </a:r>
          </a:p>
          <a:p>
            <a:pPr>
              <a:defRPr sz="1000" b="0" i="0" u="none" strike="noStrike" baseline="0">
                <a:solidFill>
                  <a:srgbClr val="000000"/>
                </a:solidFill>
                <a:latin typeface="Calibri"/>
                <a:ea typeface="Calibri"/>
                <a:cs typeface="Calibri"/>
              </a:defRPr>
            </a:pPr>
            <a:r>
              <a:rPr lang="es-MX" sz="1000" b="0" i="0" strike="noStrike">
                <a:solidFill>
                  <a:srgbClr val="000000"/>
                </a:solidFill>
                <a:latin typeface="Arial"/>
                <a:cs typeface="Arial"/>
              </a:rPr>
              <a:t>(Habitantes)</a:t>
            </a:r>
          </a:p>
        </c:rich>
      </c:tx>
      <c:spPr>
        <a:noFill/>
        <a:ln cmpd="sng">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perspective val="30"/>
    </c:view3D>
    <c:plotArea>
      <c:layout>
        <c:manualLayout>
          <c:layoutTarget val="inner"/>
          <c:xMode val="edge"/>
          <c:yMode val="edge"/>
          <c:x val="2.5296442687747278E-2"/>
          <c:y val="0.20417853751187084"/>
          <c:w val="0.95256916996047436"/>
          <c:h val="0.64159132886167003"/>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spPr>
              <a:noFill/>
              <a:ln w="25400">
                <a:noFill/>
              </a:ln>
            </c:spPr>
            <c:txPr>
              <a:bodyPr/>
              <a:lstStyle/>
              <a:p>
                <a:pPr>
                  <a:defRPr sz="1000" b="0" i="0" u="none" strike="noStrike" baseline="0">
                    <a:solidFill>
                      <a:srgbClr val="000000"/>
                    </a:solidFill>
                    <a:latin typeface="Calibri"/>
                    <a:ea typeface="Calibri"/>
                    <a:cs typeface="Calibri"/>
                  </a:defRPr>
                </a:pPr>
                <a:endParaRPr lang="es-MX"/>
              </a:p>
            </c:txPr>
            <c:showVal val="1"/>
          </c:dLbls>
          <c:cat>
            <c:numRef>
              <c:f>'Población Total'!$B$3:$G$3</c:f>
              <c:numCache>
                <c:formatCode>General</c:formatCode>
                <c:ptCount val="6"/>
                <c:pt idx="0">
                  <c:v>1970</c:v>
                </c:pt>
                <c:pt idx="1">
                  <c:v>1980</c:v>
                </c:pt>
                <c:pt idx="2">
                  <c:v>1990</c:v>
                </c:pt>
                <c:pt idx="3">
                  <c:v>1995</c:v>
                </c:pt>
                <c:pt idx="4">
                  <c:v>2000</c:v>
                </c:pt>
                <c:pt idx="5">
                  <c:v>2005</c:v>
                </c:pt>
              </c:numCache>
            </c:numRef>
          </c:cat>
          <c:val>
            <c:numRef>
              <c:f>'Población Total'!$B$4:$G$4</c:f>
              <c:numCache>
                <c:formatCode>#,##0</c:formatCode>
                <c:ptCount val="6"/>
                <c:pt idx="0">
                  <c:v>109588</c:v>
                </c:pt>
                <c:pt idx="1">
                  <c:v>186129</c:v>
                </c:pt>
                <c:pt idx="2">
                  <c:v>233115</c:v>
                </c:pt>
                <c:pt idx="3">
                  <c:v>259003</c:v>
                </c:pt>
                <c:pt idx="4">
                  <c:v>267212</c:v>
                </c:pt>
                <c:pt idx="5">
                  <c:v>280363</c:v>
                </c:pt>
              </c:numCache>
            </c:numRef>
          </c:val>
        </c:ser>
        <c:dLbls>
          <c:showVal val="1"/>
        </c:dLbls>
        <c:shape val="box"/>
        <c:axId val="116302592"/>
        <c:axId val="116304128"/>
        <c:axId val="0"/>
      </c:bar3DChart>
      <c:catAx>
        <c:axId val="116302592"/>
        <c:scaling>
          <c:orientation val="minMax"/>
        </c:scaling>
        <c:axPos val="b"/>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es-MX"/>
          </a:p>
        </c:txPr>
        <c:crossAx val="116304128"/>
        <c:crosses val="autoZero"/>
        <c:auto val="1"/>
        <c:lblAlgn val="ctr"/>
        <c:lblOffset val="100"/>
      </c:catAx>
      <c:valAx>
        <c:axId val="116304128"/>
        <c:scaling>
          <c:orientation val="minMax"/>
        </c:scaling>
        <c:delete val="1"/>
        <c:axPos val="l"/>
        <c:numFmt formatCode="#,##0" sourceLinked="1"/>
        <c:tickLblPos val="none"/>
        <c:crossAx val="116302592"/>
        <c:crosses val="autoZero"/>
        <c:crossBetween val="between"/>
      </c:valAx>
      <c:spPr>
        <a:effectLst>
          <a:outerShdw blurRad="50800" dist="38100" dir="2700000" algn="tl" rotWithShape="0">
            <a:prstClr val="black">
              <a:alpha val="40000"/>
            </a:prstClr>
          </a:outerShdw>
        </a:effectLst>
        <a:scene3d>
          <a:camera prst="orthographicFront"/>
          <a:lightRig rig="threePt" dir="t"/>
        </a:scene3d>
        <a:sp3d>
          <a:bevelT/>
        </a:sp3d>
      </c:spPr>
    </c:plotArea>
    <c:plotVisOnly val="1"/>
    <c:dispBlanksAs val="gap"/>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TASA MEDIA ANUAL DE CRECIMIENTO DE LA POBLACIÓN. 1970-2005</a:t>
            </a:r>
          </a:p>
        </c:rich>
      </c:tx>
      <c:spPr>
        <a:noFill/>
        <a:ln>
          <a:solidFill>
            <a:schemeClr val="tx1">
              <a:lumMod val="65000"/>
              <a:lumOff val="35000"/>
            </a:schemeClr>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2.9347331583552082E-2"/>
          <c:y val="0.19907407407407407"/>
          <c:w val="0.94009711286090003"/>
          <c:h val="0.6282053402542559"/>
        </c:manualLayout>
      </c:layout>
      <c:lineChart>
        <c:grouping val="standard"/>
        <c:ser>
          <c:idx val="0"/>
          <c:order val="0"/>
          <c:tx>
            <c:strRef>
              <c:f>'Tasa Media Anual de Crecimiento'!$A$4</c:f>
              <c:strCache>
                <c:ptCount val="1"/>
                <c:pt idx="0">
                  <c:v>VERACRUZ</c:v>
                </c:pt>
              </c:strCache>
            </c:strRef>
          </c:tx>
          <c:spPr>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spPr>
              <a:noFill/>
              <a:ln w="25400">
                <a:noFill/>
              </a:ln>
            </c:spPr>
            <c:txPr>
              <a:bodyPr/>
              <a:lstStyle/>
              <a:p>
                <a:pPr>
                  <a:defRPr sz="1000" b="0" i="0" u="none" strike="noStrike" baseline="0">
                    <a:solidFill>
                      <a:srgbClr val="000000"/>
                    </a:solidFill>
                    <a:latin typeface="Calibri"/>
                    <a:ea typeface="Calibri"/>
                    <a:cs typeface="Calibri"/>
                  </a:defRPr>
                </a:pPr>
                <a:endParaRPr lang="es-MX"/>
              </a:p>
            </c:txPr>
            <c:showVal val="1"/>
          </c:dLbls>
          <c:cat>
            <c:strRef>
              <c:f>'Tasa Media Anual de Crecimiento'!$B$8:$E$8</c:f>
              <c:strCache>
                <c:ptCount val="4"/>
                <c:pt idx="0">
                  <c:v>1970-1980</c:v>
                </c:pt>
                <c:pt idx="1">
                  <c:v>1980-1990</c:v>
                </c:pt>
                <c:pt idx="2">
                  <c:v>1990-2000</c:v>
                </c:pt>
                <c:pt idx="3">
                  <c:v>2000-2005</c:v>
                </c:pt>
              </c:strCache>
            </c:strRef>
          </c:cat>
          <c:val>
            <c:numRef>
              <c:f>('Tasa Media Anual de Crecimiento'!$B$4:$D$4,'Tasa Media Anual de Crecimiento'!$G$4)</c:f>
              <c:numCache>
                <c:formatCode>0.0_ ;[Red]\-0.0\ </c:formatCode>
                <c:ptCount val="4"/>
                <c:pt idx="0">
                  <c:v>3.5108610707743404</c:v>
                </c:pt>
                <c:pt idx="1">
                  <c:v>1.4603480212478821</c:v>
                </c:pt>
                <c:pt idx="2">
                  <c:v>1.0426749903378552</c:v>
                </c:pt>
                <c:pt idx="3">
                  <c:v>0.57587282471165357</c:v>
                </c:pt>
              </c:numCache>
            </c:numRef>
          </c:val>
          <c:smooth val="1"/>
        </c:ser>
        <c:ser>
          <c:idx val="1"/>
          <c:order val="1"/>
          <c:tx>
            <c:strRef>
              <c:f>'Tasa Media Anual de Crecimiento'!$A$5</c:f>
              <c:strCache>
                <c:ptCount val="1"/>
                <c:pt idx="0">
                  <c:v>COATZACOALCOS</c:v>
                </c:pt>
              </c:strCache>
            </c:strRef>
          </c:tx>
          <c:spPr>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spPr>
              <a:noFill/>
              <a:ln w="25400">
                <a:noFill/>
              </a:ln>
            </c:spPr>
            <c:txPr>
              <a:bodyPr/>
              <a:lstStyle/>
              <a:p>
                <a:pPr>
                  <a:defRPr sz="1000" b="0" i="0" u="none" strike="noStrike" baseline="0">
                    <a:solidFill>
                      <a:srgbClr val="000000"/>
                    </a:solidFill>
                    <a:latin typeface="Calibri"/>
                    <a:ea typeface="Calibri"/>
                    <a:cs typeface="Calibri"/>
                  </a:defRPr>
                </a:pPr>
                <a:endParaRPr lang="es-MX"/>
              </a:p>
            </c:txPr>
            <c:showVal val="1"/>
          </c:dLbls>
          <c:cat>
            <c:strRef>
              <c:f>'Tasa Media Anual de Crecimiento'!$B$8:$E$8</c:f>
              <c:strCache>
                <c:ptCount val="4"/>
                <c:pt idx="0">
                  <c:v>1970-1980</c:v>
                </c:pt>
                <c:pt idx="1">
                  <c:v>1980-1990</c:v>
                </c:pt>
                <c:pt idx="2">
                  <c:v>1990-2000</c:v>
                </c:pt>
                <c:pt idx="3">
                  <c:v>2000-2005</c:v>
                </c:pt>
              </c:strCache>
            </c:strRef>
          </c:cat>
          <c:val>
            <c:numRef>
              <c:f>('Tasa Media Anual de Crecimiento'!$B$5:$D$5,'Tasa Media Anual de Crecimiento'!$G$5)</c:f>
              <c:numCache>
                <c:formatCode>0.0</c:formatCode>
                <c:ptCount val="4"/>
                <c:pt idx="0">
                  <c:v>5.4399288762864355</c:v>
                </c:pt>
                <c:pt idx="1">
                  <c:v>2.2764434587357663</c:v>
                </c:pt>
                <c:pt idx="2">
                  <c:v>1.374464663589503</c:v>
                </c:pt>
                <c:pt idx="3">
                  <c:v>0.9654878752778373</c:v>
                </c:pt>
              </c:numCache>
            </c:numRef>
          </c:val>
          <c:smooth val="1"/>
        </c:ser>
        <c:dLbls>
          <c:showVal val="1"/>
        </c:dLbls>
        <c:marker val="1"/>
        <c:axId val="115006464"/>
        <c:axId val="116310784"/>
      </c:lineChart>
      <c:catAx>
        <c:axId val="115006464"/>
        <c:scaling>
          <c:orientation val="minMax"/>
        </c:scaling>
        <c:axPos val="b"/>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es-MX"/>
          </a:p>
        </c:txPr>
        <c:crossAx val="116310784"/>
        <c:crosses val="autoZero"/>
        <c:auto val="1"/>
        <c:lblAlgn val="ctr"/>
        <c:lblOffset val="100"/>
      </c:catAx>
      <c:valAx>
        <c:axId val="116310784"/>
        <c:scaling>
          <c:orientation val="minMax"/>
        </c:scaling>
        <c:delete val="1"/>
        <c:axPos val="l"/>
        <c:numFmt formatCode="0.0_ ;[Red]\-0.0\ " sourceLinked="1"/>
        <c:tickLblPos val="none"/>
        <c:crossAx val="115006464"/>
        <c:crosses val="autoZero"/>
        <c:crossBetween val="between"/>
      </c:valAx>
    </c:plotArea>
    <c:legend>
      <c:legendPos val="l"/>
      <c:layout>
        <c:manualLayout>
          <c:xMode val="edge"/>
          <c:yMode val="edge"/>
          <c:x val="6.666666666666668E-2"/>
          <c:y val="0.6385050306211969"/>
          <c:w val="0.28212510936132984"/>
          <c:h val="0.16743438320210449"/>
        </c:manualLayout>
      </c:layout>
      <c:txPr>
        <a:bodyPr/>
        <a:lstStyle/>
        <a:p>
          <a:pPr>
            <a:defRPr sz="920" b="0" i="0" u="none" strike="noStrike" baseline="0">
              <a:solidFill>
                <a:srgbClr val="000000"/>
              </a:solidFill>
              <a:latin typeface="Calibri"/>
              <a:ea typeface="Calibri"/>
              <a:cs typeface="Calibri"/>
            </a:defRPr>
          </a:pPr>
          <a:endParaRPr lang="es-MX"/>
        </a:p>
      </c:txPr>
    </c:legend>
    <c:plotVisOnly val="1"/>
    <c:dispBlanksAs val="gap"/>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CRECIMIENTO DE LA POBLACIÓN POR PERIODO INTERCENSAL. 1970-2005</a:t>
            </a:r>
          </a:p>
        </c:rich>
      </c:tx>
      <c:spPr>
        <a:noFill/>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3.0567442894458948E-2"/>
          <c:y val="0.19891751861960488"/>
          <c:w val="0.93886511421108265"/>
          <c:h val="0.63232240300814324"/>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 sourceLinked="0"/>
            <c:spPr>
              <a:noFill/>
              <a:ln w="25400">
                <a:noFill/>
              </a:ln>
            </c:spPr>
            <c:txPr>
              <a:bodyPr/>
              <a:lstStyle/>
              <a:p>
                <a:pPr>
                  <a:defRPr sz="1000" b="0" i="0" u="none" strike="noStrike" baseline="0">
                    <a:solidFill>
                      <a:srgbClr val="000000"/>
                    </a:solidFill>
                    <a:latin typeface="Calibri"/>
                    <a:ea typeface="Calibri"/>
                    <a:cs typeface="Calibri"/>
                  </a:defRPr>
                </a:pPr>
                <a:endParaRPr lang="es-MX"/>
              </a:p>
            </c:txPr>
            <c:showVal val="1"/>
          </c:dLbls>
          <c:cat>
            <c:strRef>
              <c:f>'Crecimiento de la Población'!$B$2:$E$2</c:f>
              <c:strCache>
                <c:ptCount val="4"/>
                <c:pt idx="0">
                  <c:v>1970-1980</c:v>
                </c:pt>
                <c:pt idx="1">
                  <c:v>1980-1990</c:v>
                </c:pt>
                <c:pt idx="2">
                  <c:v>1990-2000</c:v>
                </c:pt>
                <c:pt idx="3">
                  <c:v>2000-2005</c:v>
                </c:pt>
              </c:strCache>
            </c:strRef>
          </c:cat>
          <c:val>
            <c:numRef>
              <c:f>'Crecimiento de la Población'!$B$3:$E$3</c:f>
              <c:numCache>
                <c:formatCode>General</c:formatCode>
                <c:ptCount val="4"/>
                <c:pt idx="0">
                  <c:v>76541</c:v>
                </c:pt>
                <c:pt idx="1">
                  <c:v>46986</c:v>
                </c:pt>
                <c:pt idx="2">
                  <c:v>34097</c:v>
                </c:pt>
                <c:pt idx="3">
                  <c:v>13151</c:v>
                </c:pt>
              </c:numCache>
            </c:numRef>
          </c:val>
        </c:ser>
        <c:dLbls>
          <c:showVal val="1"/>
        </c:dLbls>
        <c:shape val="cylinder"/>
        <c:axId val="68408448"/>
        <c:axId val="68409984"/>
        <c:axId val="0"/>
      </c:bar3DChart>
      <c:catAx>
        <c:axId val="68408448"/>
        <c:scaling>
          <c:orientation val="minMax"/>
        </c:scaling>
        <c:axPos val="b"/>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es-MX"/>
          </a:p>
        </c:txPr>
        <c:crossAx val="68409984"/>
        <c:crosses val="autoZero"/>
        <c:auto val="1"/>
        <c:lblAlgn val="ctr"/>
        <c:lblOffset val="100"/>
      </c:catAx>
      <c:valAx>
        <c:axId val="68409984"/>
        <c:scaling>
          <c:orientation val="minMax"/>
        </c:scaling>
        <c:delete val="1"/>
        <c:axPos val="l"/>
        <c:numFmt formatCode="General" sourceLinked="1"/>
        <c:tickLblPos val="none"/>
        <c:crossAx val="68408448"/>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 POBLACIÓN POR SEXO. 2005</a:t>
            </a:r>
          </a:p>
        </c:rich>
      </c:tx>
      <c:spPr>
        <a:noFill/>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9.7311524547683353E-2"/>
          <c:y val="0.30266817250118999"/>
          <c:w val="0.72942395445221253"/>
          <c:h val="0.60886033056020061"/>
        </c:manualLayout>
      </c:layout>
      <c:pie3DChart>
        <c:varyColors val="1"/>
        <c:ser>
          <c:idx val="0"/>
          <c:order val="0"/>
          <c:spPr>
            <a:ln>
              <a:solidFill>
                <a:sysClr val="windowText" lastClr="000000"/>
              </a:solidFill>
            </a:ln>
          </c:spPr>
          <c:explosion val="25"/>
          <c:dPt>
            <c:idx val="1"/>
            <c:spPr>
              <a:solidFill>
                <a:srgbClr val="CC3399"/>
              </a:solidFill>
              <a:ln>
                <a:solidFill>
                  <a:sysClr val="windowText" lastClr="000000"/>
                </a:solidFill>
              </a:ln>
            </c:spPr>
          </c:dPt>
          <c:dLbls>
            <c:dLbl>
              <c:idx val="0"/>
              <c:layout>
                <c:manualLayout>
                  <c:x val="-0.21204986876640908"/>
                  <c:y val="1.4418926800816556E-2"/>
                </c:manualLayout>
              </c:layout>
              <c:tx>
                <c:rich>
                  <a:bodyPr/>
                  <a:lstStyle/>
                  <a:p>
                    <a:r>
                      <a:rPr lang="es-MX" sz="1000" b="0" i="0" strike="noStrike">
                        <a:solidFill>
                          <a:srgbClr val="000000"/>
                        </a:solidFill>
                        <a:latin typeface="Calibri"/>
                      </a:rPr>
                      <a:t>134,786</a:t>
                    </a:r>
                  </a:p>
                  <a:p>
                    <a:r>
                      <a:rPr lang="es-MX" sz="1000" b="0" i="0" strike="noStrike">
                        <a:solidFill>
                          <a:srgbClr val="000000"/>
                        </a:solidFill>
                        <a:latin typeface="Calibri"/>
                      </a:rPr>
                      <a:t>48%</a:t>
                    </a:r>
                  </a:p>
                </c:rich>
              </c:tx>
              <c:dLblPos val="bestFit"/>
            </c:dLbl>
            <c:dLbl>
              <c:idx val="1"/>
              <c:layout>
                <c:manualLayout>
                  <c:x val="0.20635159667541558"/>
                  <c:y val="-9.376567512394586E-2"/>
                </c:manualLayout>
              </c:layout>
              <c:tx>
                <c:rich>
                  <a:bodyPr/>
                  <a:lstStyle/>
                  <a:p>
                    <a:r>
                      <a:rPr lang="es-MX" sz="1000" b="0" i="0" strike="noStrike">
                        <a:solidFill>
                          <a:srgbClr val="000000"/>
                        </a:solidFill>
                        <a:latin typeface="Calibri"/>
                      </a:rPr>
                      <a:t>145,577 </a:t>
                    </a:r>
                  </a:p>
                  <a:p>
                    <a:r>
                      <a:rPr lang="es-MX" sz="1000" b="0" i="0" strike="noStrike">
                        <a:solidFill>
                          <a:srgbClr val="000000"/>
                        </a:solidFill>
                        <a:latin typeface="Calibri"/>
                      </a:rPr>
                      <a:t>52%</a:t>
                    </a:r>
                  </a:p>
                </c:rich>
              </c:tx>
              <c:dLblPos val="bestFit"/>
            </c:dLbl>
            <c:spPr>
              <a:noFill/>
              <a:ln w="25400">
                <a:noFill/>
              </a:ln>
            </c:spPr>
            <c:txPr>
              <a:bodyPr/>
              <a:lstStyle/>
              <a:p>
                <a:pPr>
                  <a:defRPr sz="1000" b="0" i="0" u="none" strike="noStrike" baseline="0">
                    <a:solidFill>
                      <a:srgbClr val="000000"/>
                    </a:solidFill>
                    <a:latin typeface="Calibri"/>
                    <a:ea typeface="Calibri"/>
                    <a:cs typeface="Calibri"/>
                  </a:defRPr>
                </a:pPr>
                <a:endParaRPr lang="es-MX"/>
              </a:p>
            </c:txPr>
            <c:showVal val="1"/>
            <c:showPercent val="1"/>
          </c:dLbls>
          <c:val>
            <c:numRef>
              <c:f>'Población por Sexo'!$C$3:$D$3</c:f>
              <c:numCache>
                <c:formatCode>#,##0</c:formatCode>
                <c:ptCount val="2"/>
                <c:pt idx="0">
                  <c:v>134786</c:v>
                </c:pt>
                <c:pt idx="1">
                  <c:v>145577</c:v>
                </c:pt>
              </c:numCache>
            </c:numRef>
          </c:val>
        </c:ser>
        <c:dLbls>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txPr>
    <a:bodyPr/>
    <a:lstStyle/>
    <a:p>
      <a:pPr algn="just">
        <a:defRPr sz="1000" b="0" i="0" u="none" strike="noStrike" baseline="0">
          <a:solidFill>
            <a:srgbClr val="000000"/>
          </a:solidFill>
          <a:latin typeface="Calibri"/>
          <a:ea typeface="Calibri"/>
          <a:cs typeface="Calibri"/>
        </a:defRPr>
      </a:pPr>
      <a:endParaRPr lang="es-MX"/>
    </a:p>
  </c:txPr>
  <c:externalData r:id="rId1"/>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a:latin typeface="Arial" pitchFamily="34" charset="0"/>
                <a:cs typeface="Arial" pitchFamily="34" charset="0"/>
              </a:defRPr>
            </a:pPr>
            <a:r>
              <a:rPr lang="es-MX" sz="1000" b="0">
                <a:latin typeface="Arial" pitchFamily="34" charset="0"/>
                <a:cs typeface="Arial" pitchFamily="34" charset="0"/>
              </a:rPr>
              <a:t>COATZACOALCOS.</a:t>
            </a:r>
            <a:r>
              <a:rPr lang="es-MX" sz="1000" b="0" baseline="0">
                <a:latin typeface="Arial" pitchFamily="34" charset="0"/>
                <a:cs typeface="Arial" pitchFamily="34" charset="0"/>
              </a:rPr>
              <a:t> ESTRUCTURA DE LA POBLACIÓN POR GRANDES GRUPOS DE EDADES. 2005 (%)</a:t>
            </a:r>
            <a:endParaRPr lang="es-MX" sz="1000" b="0">
              <a:latin typeface="Arial" pitchFamily="34" charset="0"/>
              <a:cs typeface="Arial" pitchFamily="34" charset="0"/>
            </a:endParaRP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1565989647041311"/>
          <c:y val="0.2981087605013229"/>
          <c:w val="0.74505350889024258"/>
          <c:h val="0.55907029693578691"/>
        </c:manualLayout>
      </c:layout>
      <c:pie3DChart>
        <c:varyColors val="1"/>
        <c:ser>
          <c:idx val="0"/>
          <c:order val="0"/>
          <c:explosion val="25"/>
          <c:dPt>
            <c:idx val="0"/>
            <c:spPr>
              <a:solidFill>
                <a:srgbClr val="FFC000"/>
              </a:solidFill>
            </c:spPr>
          </c:dPt>
          <c:dPt>
            <c:idx val="2"/>
            <c:spPr>
              <a:solidFill>
                <a:srgbClr val="92D050"/>
              </a:solidFill>
            </c:spPr>
          </c:dPt>
          <c:dPt>
            <c:idx val="4"/>
            <c:spPr>
              <a:solidFill>
                <a:schemeClr val="accent5">
                  <a:lumMod val="60000"/>
                  <a:lumOff val="40000"/>
                </a:schemeClr>
              </a:solidFill>
            </c:spPr>
          </c:dPt>
          <c:dPt>
            <c:idx val="6"/>
            <c:spPr>
              <a:solidFill>
                <a:schemeClr val="accent6">
                  <a:lumMod val="75000"/>
                </a:schemeClr>
              </a:solidFill>
            </c:spPr>
          </c:dPt>
          <c:dPt>
            <c:idx val="8"/>
            <c:spPr>
              <a:solidFill>
                <a:schemeClr val="accent2">
                  <a:lumMod val="75000"/>
                </a:schemeClr>
              </a:solidFill>
            </c:spPr>
          </c:dPt>
          <c:dLbls>
            <c:dLbl>
              <c:idx val="0"/>
              <c:layout>
                <c:manualLayout>
                  <c:x val="-0.13488774992907338"/>
                  <c:y val="6.4688781372207987E-2"/>
                </c:manualLayout>
              </c:layout>
              <c:showCatName val="1"/>
              <c:showPercent val="1"/>
            </c:dLbl>
            <c:dLbl>
              <c:idx val="2"/>
              <c:layout>
                <c:manualLayout>
                  <c:x val="-0.11915064810637596"/>
                  <c:y val="-0.22300899134596144"/>
                </c:manualLayout>
              </c:layout>
              <c:showCatName val="1"/>
              <c:showPercent val="1"/>
            </c:dLbl>
            <c:dLbl>
              <c:idx val="4"/>
              <c:layout>
                <c:manualLayout>
                  <c:x val="0.15314983884545849"/>
                  <c:y val="-0.12600238223234397"/>
                </c:manualLayout>
              </c:layout>
              <c:showCatName val="1"/>
              <c:showPercent val="1"/>
            </c:dLbl>
            <c:dLbl>
              <c:idx val="6"/>
              <c:layout>
                <c:manualLayout>
                  <c:x val="2.8638553370616431E-2"/>
                  <c:y val="-9.1088771632252591E-4"/>
                </c:manualLayout>
              </c:layout>
              <c:showCatName val="1"/>
              <c:showPercent val="1"/>
            </c:dLbl>
            <c:dLbl>
              <c:idx val="8"/>
              <c:layout>
                <c:manualLayout>
                  <c:x val="8.2062938841349853E-2"/>
                  <c:y val="1.0534290469211852E-2"/>
                </c:manualLayout>
              </c:layout>
              <c:showCatName val="1"/>
              <c:showPercent val="1"/>
            </c:dLbl>
            <c:txPr>
              <a:bodyPr/>
              <a:lstStyle/>
              <a:p>
                <a:pPr>
                  <a:defRPr sz="700"/>
                </a:pPr>
                <a:endParaRPr lang="es-MX"/>
              </a:p>
            </c:txPr>
            <c:showCatName val="1"/>
            <c:showPercent val="1"/>
          </c:dLbls>
          <c:cat>
            <c:strRef>
              <c:f>'Por Grandes Grupos de Edades'!$B$6:$K$6</c:f>
              <c:strCache>
                <c:ptCount val="9"/>
                <c:pt idx="0">
                  <c:v>0-14 AÑOS</c:v>
                </c:pt>
                <c:pt idx="2">
                  <c:v>15-29 AÑOS</c:v>
                </c:pt>
                <c:pt idx="4">
                  <c:v>30-44 AÑOS</c:v>
                </c:pt>
                <c:pt idx="6">
                  <c:v>45-59 AÑOS</c:v>
                </c:pt>
                <c:pt idx="8">
                  <c:v>60- y más AÑOS</c:v>
                </c:pt>
              </c:strCache>
            </c:strRef>
          </c:cat>
          <c:val>
            <c:numRef>
              <c:f>'Por Grandes Grupos de Edades'!$B$7:$K$7</c:f>
              <c:numCache>
                <c:formatCode>General</c:formatCode>
                <c:ptCount val="10"/>
                <c:pt idx="0" formatCode="#,##0">
                  <c:v>76083</c:v>
                </c:pt>
                <c:pt idx="2" formatCode="#,##0">
                  <c:v>74853</c:v>
                </c:pt>
                <c:pt idx="4" formatCode="#,##0">
                  <c:v>66345</c:v>
                </c:pt>
                <c:pt idx="6" formatCode="#,##0">
                  <c:v>39080</c:v>
                </c:pt>
                <c:pt idx="8" formatCode="#,##0">
                  <c:v>19651</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700" b="1" i="0" u="none" strike="noStrike" baseline="0">
                <a:solidFill>
                  <a:srgbClr val="000000"/>
                </a:solidFill>
                <a:latin typeface="Arial"/>
                <a:ea typeface="Arial"/>
                <a:cs typeface="Arial"/>
              </a:defRPr>
            </a:pPr>
            <a:r>
              <a:rPr lang="es-MX" sz="700" b="0"/>
              <a:t>COATZACOALCOS. HABITANTES EN LOS MUNICIPIOS CON MAYOR POBLACIÓN. 2005</a:t>
            </a:r>
          </a:p>
        </c:rich>
      </c:tx>
      <c:layout>
        <c:manualLayout>
          <c:xMode val="edge"/>
          <c:yMode val="edge"/>
          <c:x val="0.13826391419382444"/>
          <c:y val="2.3848758035680321E-2"/>
        </c:manualLayout>
      </c:layout>
      <c:spPr>
        <a:noFill/>
        <a:ln w="12700">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4337172400046434"/>
          <c:y val="0.12264036218143012"/>
          <c:w val="0.61265843495589556"/>
          <c:h val="0.82772014911179581"/>
        </c:manualLayout>
      </c:layout>
      <c:barChart>
        <c:barDir val="bar"/>
        <c:grouping val="clustered"/>
        <c:ser>
          <c:idx val="0"/>
          <c:order val="0"/>
          <c:spPr>
            <a:solidFill>
              <a:schemeClr val="accent3"/>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sp3d>
          </c:spPr>
          <c:dPt>
            <c:idx val="2"/>
            <c:spPr>
              <a:solidFill>
                <a:srgbClr val="FF0000"/>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sp3d>
            </c:spPr>
          </c:dPt>
          <c:dLbls>
            <c:spPr>
              <a:noFill/>
              <a:ln w="25400">
                <a:noFill/>
              </a:ln>
            </c:spPr>
            <c:txPr>
              <a:bodyPr/>
              <a:lstStyle/>
              <a:p>
                <a:pPr>
                  <a:defRPr sz="700" b="0" i="0" u="none" strike="noStrike" baseline="0">
                    <a:solidFill>
                      <a:srgbClr val="000000"/>
                    </a:solidFill>
                    <a:latin typeface="Arial"/>
                    <a:ea typeface="Arial"/>
                    <a:cs typeface="Arial"/>
                  </a:defRPr>
                </a:pPr>
                <a:endParaRPr lang="es-MX"/>
              </a:p>
            </c:txPr>
            <c:showVal val="1"/>
          </c:dLbls>
          <c:cat>
            <c:strRef>
              <c:f>'Participación % de los Municipi'!$A$3:$A$23</c:f>
              <c:strCache>
                <c:ptCount val="21"/>
                <c:pt idx="0">
                  <c:v>VERACRUZ</c:v>
                </c:pt>
                <c:pt idx="1">
                  <c:v>XALAPA</c:v>
                </c:pt>
                <c:pt idx="2">
                  <c:v>COATZACOALCOS</c:v>
                </c:pt>
                <c:pt idx="3">
                  <c:v>CÓRDOBA</c:v>
                </c:pt>
                <c:pt idx="4">
                  <c:v>POZA RICA DE HIDALGO</c:v>
                </c:pt>
                <c:pt idx="5">
                  <c:v>PAPANTLA</c:v>
                </c:pt>
                <c:pt idx="6">
                  <c:v>MINATITLÁN</c:v>
                </c:pt>
                <c:pt idx="7">
                  <c:v>SAN ANDRÉS TUXTLA</c:v>
                </c:pt>
                <c:pt idx="8">
                  <c:v>BOCA DEL RÍO</c:v>
                </c:pt>
                <c:pt idx="9">
                  <c:v>TÚXPAN</c:v>
                </c:pt>
                <c:pt idx="10">
                  <c:v>ORIZABA</c:v>
                </c:pt>
                <c:pt idx="11">
                  <c:v>COSOLEACAQUE</c:v>
                </c:pt>
                <c:pt idx="12">
                  <c:v>TEMAPACHE</c:v>
                </c:pt>
                <c:pt idx="13">
                  <c:v>TANTOYUCA</c:v>
                </c:pt>
                <c:pt idx="14">
                  <c:v>MARTÍNEZ DE LA TORRE</c:v>
                </c:pt>
                <c:pt idx="15">
                  <c:v>PÁNUCO</c:v>
                </c:pt>
                <c:pt idx="16">
                  <c:v>TIERRA BLANCA</c:v>
                </c:pt>
                <c:pt idx="17">
                  <c:v>TIHUATLÁN</c:v>
                </c:pt>
                <c:pt idx="18">
                  <c:v>COATEPEC</c:v>
                </c:pt>
                <c:pt idx="19">
                  <c:v>ACAYUCAN</c:v>
                </c:pt>
                <c:pt idx="20">
                  <c:v>LAS CHOAPAS</c:v>
                </c:pt>
              </c:strCache>
            </c:strRef>
          </c:cat>
          <c:val>
            <c:numRef>
              <c:f>'Participación % de los Municipi'!$B$3:$B$23</c:f>
              <c:numCache>
                <c:formatCode>#,##0</c:formatCode>
                <c:ptCount val="21"/>
                <c:pt idx="0">
                  <c:v>512310</c:v>
                </c:pt>
                <c:pt idx="1">
                  <c:v>413136</c:v>
                </c:pt>
                <c:pt idx="2">
                  <c:v>280363</c:v>
                </c:pt>
                <c:pt idx="3">
                  <c:v>186623</c:v>
                </c:pt>
                <c:pt idx="4">
                  <c:v>181438</c:v>
                </c:pt>
                <c:pt idx="5">
                  <c:v>152863</c:v>
                </c:pt>
                <c:pt idx="6">
                  <c:v>151983</c:v>
                </c:pt>
                <c:pt idx="7">
                  <c:v>148447</c:v>
                </c:pt>
                <c:pt idx="8">
                  <c:v>141906</c:v>
                </c:pt>
                <c:pt idx="9">
                  <c:v>134394</c:v>
                </c:pt>
                <c:pt idx="10">
                  <c:v>117289</c:v>
                </c:pt>
                <c:pt idx="11">
                  <c:v>104970</c:v>
                </c:pt>
                <c:pt idx="12">
                  <c:v>100790</c:v>
                </c:pt>
                <c:pt idx="13">
                  <c:v>97949</c:v>
                </c:pt>
                <c:pt idx="14">
                  <c:v>97768</c:v>
                </c:pt>
                <c:pt idx="15">
                  <c:v>91006</c:v>
                </c:pt>
                <c:pt idx="16">
                  <c:v>86075</c:v>
                </c:pt>
                <c:pt idx="17">
                  <c:v>80923</c:v>
                </c:pt>
                <c:pt idx="18">
                  <c:v>79787</c:v>
                </c:pt>
                <c:pt idx="19">
                  <c:v>79459</c:v>
                </c:pt>
                <c:pt idx="20">
                  <c:v>70092</c:v>
                </c:pt>
              </c:numCache>
            </c:numRef>
          </c:val>
        </c:ser>
        <c:dLbls>
          <c:showVal val="1"/>
        </c:dLbls>
        <c:axId val="68404352"/>
        <c:axId val="68405888"/>
      </c:barChart>
      <c:catAx>
        <c:axId val="68404352"/>
        <c:scaling>
          <c:orientation val="maxMin"/>
        </c:scaling>
        <c:axPos val="l"/>
        <c:numFmt formatCode="#,##0" sourceLinked="0"/>
        <c:tickLblPos val="nextTo"/>
        <c:spPr>
          <a:ln w="3175">
            <a:solidFill>
              <a:srgbClr val="000000"/>
            </a:solidFill>
            <a:prstDash val="solid"/>
          </a:ln>
        </c:spPr>
        <c:txPr>
          <a:bodyPr rot="0" vert="horz"/>
          <a:lstStyle/>
          <a:p>
            <a:pPr>
              <a:defRPr sz="450" b="0" i="0" u="none" strike="noStrike" baseline="0">
                <a:solidFill>
                  <a:srgbClr val="000000"/>
                </a:solidFill>
                <a:latin typeface="Arial"/>
                <a:ea typeface="Arial"/>
                <a:cs typeface="Arial"/>
              </a:defRPr>
            </a:pPr>
            <a:endParaRPr lang="es-MX"/>
          </a:p>
        </c:txPr>
        <c:crossAx val="68405888"/>
        <c:crosses val="autoZero"/>
        <c:auto val="1"/>
        <c:lblAlgn val="ctr"/>
        <c:lblOffset val="100"/>
        <c:tickLblSkip val="1"/>
        <c:tickMarkSkip val="1"/>
      </c:catAx>
      <c:valAx>
        <c:axId val="68405888"/>
        <c:scaling>
          <c:orientation val="minMax"/>
        </c:scaling>
        <c:delete val="1"/>
        <c:axPos val="t"/>
        <c:numFmt formatCode="#,##0" sourceLinked="1"/>
        <c:tickLblPos val="none"/>
        <c:crossAx val="68404352"/>
        <c:crosses val="autoZero"/>
        <c:crossBetween val="between"/>
      </c:valAx>
      <c:spPr>
        <a:noFill/>
        <a:ln w="25400">
          <a:noFill/>
        </a:ln>
      </c:spPr>
    </c:plotArea>
    <c:plotVisOnly val="1"/>
    <c:dispBlanksAs val="gap"/>
  </c:chart>
  <c:spPr>
    <a:solidFill>
      <a:srgbClr val="FFFFFF"/>
    </a:solidFill>
    <a:ln w="3175">
      <a:solidFill>
        <a:srgbClr val="000000"/>
      </a:solidFill>
      <a:prstDash val="solid"/>
    </a:ln>
    <a:effectLst>
      <a:outerShdw blurRad="50800" dist="38100" dir="2700000" algn="tl" rotWithShape="0">
        <a:prstClr val="black">
          <a:alpha val="40000"/>
        </a:prstClr>
      </a:outerShdw>
    </a:effectLst>
  </c:spPr>
  <c:txPr>
    <a:bodyPr/>
    <a:lstStyle/>
    <a:p>
      <a:pPr>
        <a:defRPr sz="1200" b="0" i="0" u="none" strike="noStrike" baseline="0">
          <a:solidFill>
            <a:srgbClr val="000000"/>
          </a:solidFill>
          <a:latin typeface="Arial"/>
          <a:ea typeface="Arial"/>
          <a:cs typeface="Arial"/>
        </a:defRPr>
      </a:pPr>
      <a:endParaRPr lang="es-MX"/>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700" b="1" i="0" u="none" strike="noStrike" baseline="0">
                <a:solidFill>
                  <a:srgbClr val="000000"/>
                </a:solidFill>
                <a:latin typeface="Arial"/>
                <a:ea typeface="Arial"/>
                <a:cs typeface="Arial"/>
              </a:defRPr>
            </a:pPr>
            <a:r>
              <a:rPr lang="es-MX" sz="700" b="0"/>
              <a:t>COATZACOALCOS. HABITANTES EN LOS MUNICIPIOS CON MAYOR POBLACIÓN. 2005</a:t>
            </a:r>
          </a:p>
        </c:rich>
      </c:tx>
      <c:layout>
        <c:manualLayout>
          <c:xMode val="edge"/>
          <c:yMode val="edge"/>
          <c:x val="0.13826391419382444"/>
          <c:y val="2.3848758035680321E-2"/>
        </c:manualLayout>
      </c:layout>
      <c:spPr>
        <a:noFill/>
        <a:ln w="12700">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4172632676234632"/>
          <c:y val="0.11970424892540842"/>
          <c:w val="0.61430390350142461"/>
          <c:h val="0.82772014911179581"/>
        </c:manualLayout>
      </c:layout>
      <c:barChart>
        <c:barDir val="bar"/>
        <c:grouping val="clustered"/>
        <c:ser>
          <c:idx val="0"/>
          <c:order val="0"/>
          <c:spPr>
            <a:solidFill>
              <a:schemeClr val="accent3"/>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sp3d>
          </c:spPr>
          <c:dPt>
            <c:idx val="2"/>
            <c:spPr>
              <a:solidFill>
                <a:srgbClr val="FF0000"/>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sp3d>
            </c:spPr>
          </c:dPt>
          <c:dLbls>
            <c:spPr>
              <a:noFill/>
              <a:ln w="25400">
                <a:noFill/>
              </a:ln>
            </c:spPr>
            <c:txPr>
              <a:bodyPr/>
              <a:lstStyle/>
              <a:p>
                <a:pPr>
                  <a:defRPr sz="700" b="0" i="0" u="none" strike="noStrike" baseline="0">
                    <a:solidFill>
                      <a:srgbClr val="000000"/>
                    </a:solidFill>
                    <a:latin typeface="Arial"/>
                    <a:ea typeface="Arial"/>
                    <a:cs typeface="Arial"/>
                  </a:defRPr>
                </a:pPr>
                <a:endParaRPr lang="es-MX"/>
              </a:p>
            </c:txPr>
            <c:showVal val="1"/>
          </c:dLbls>
          <c:cat>
            <c:strRef>
              <c:f>'Participación % de los Municipi'!$A$3:$A$23</c:f>
              <c:strCache>
                <c:ptCount val="21"/>
                <c:pt idx="0">
                  <c:v>VERACRUZ</c:v>
                </c:pt>
                <c:pt idx="1">
                  <c:v>XALAPA</c:v>
                </c:pt>
                <c:pt idx="2">
                  <c:v>COATZACOALCOS</c:v>
                </c:pt>
                <c:pt idx="3">
                  <c:v>CÓRDOBA</c:v>
                </c:pt>
                <c:pt idx="4">
                  <c:v>POZA RICA DE HIDALGO</c:v>
                </c:pt>
                <c:pt idx="5">
                  <c:v>PAPANTLA</c:v>
                </c:pt>
                <c:pt idx="6">
                  <c:v>MINATITLÁN</c:v>
                </c:pt>
                <c:pt idx="7">
                  <c:v>SAN ANDRÉS TUXTLA</c:v>
                </c:pt>
                <c:pt idx="8">
                  <c:v>BOCA DEL RÍO</c:v>
                </c:pt>
                <c:pt idx="9">
                  <c:v>TÚXPAN</c:v>
                </c:pt>
                <c:pt idx="10">
                  <c:v>ORIZABA</c:v>
                </c:pt>
                <c:pt idx="11">
                  <c:v>COSOLEACAQUE</c:v>
                </c:pt>
                <c:pt idx="12">
                  <c:v>TEMAPACHE</c:v>
                </c:pt>
                <c:pt idx="13">
                  <c:v>TANTOYUCA</c:v>
                </c:pt>
                <c:pt idx="14">
                  <c:v>MARTÍNEZ DE LA TORRE</c:v>
                </c:pt>
                <c:pt idx="15">
                  <c:v>PÁNUCO</c:v>
                </c:pt>
                <c:pt idx="16">
                  <c:v>TIERRA BLANCA</c:v>
                </c:pt>
                <c:pt idx="17">
                  <c:v>TIHUATLÁN</c:v>
                </c:pt>
                <c:pt idx="18">
                  <c:v>COATEPEC</c:v>
                </c:pt>
                <c:pt idx="19">
                  <c:v>ACAYUCAN</c:v>
                </c:pt>
                <c:pt idx="20">
                  <c:v>LAS CHOAPAS</c:v>
                </c:pt>
              </c:strCache>
            </c:strRef>
          </c:cat>
          <c:val>
            <c:numRef>
              <c:f>'Participación % de los Municipi'!$B$3:$B$23</c:f>
              <c:numCache>
                <c:formatCode>#,##0</c:formatCode>
                <c:ptCount val="21"/>
                <c:pt idx="0">
                  <c:v>512310</c:v>
                </c:pt>
                <c:pt idx="1">
                  <c:v>413136</c:v>
                </c:pt>
                <c:pt idx="2">
                  <c:v>280363</c:v>
                </c:pt>
                <c:pt idx="3">
                  <c:v>186623</c:v>
                </c:pt>
                <c:pt idx="4">
                  <c:v>181438</c:v>
                </c:pt>
                <c:pt idx="5">
                  <c:v>152863</c:v>
                </c:pt>
                <c:pt idx="6">
                  <c:v>151983</c:v>
                </c:pt>
                <c:pt idx="7">
                  <c:v>148447</c:v>
                </c:pt>
                <c:pt idx="8">
                  <c:v>141906</c:v>
                </c:pt>
                <c:pt idx="9">
                  <c:v>134394</c:v>
                </c:pt>
                <c:pt idx="10">
                  <c:v>117289</c:v>
                </c:pt>
                <c:pt idx="11">
                  <c:v>104970</c:v>
                </c:pt>
                <c:pt idx="12">
                  <c:v>100790</c:v>
                </c:pt>
                <c:pt idx="13">
                  <c:v>97949</c:v>
                </c:pt>
                <c:pt idx="14">
                  <c:v>97768</c:v>
                </c:pt>
                <c:pt idx="15">
                  <c:v>91006</c:v>
                </c:pt>
                <c:pt idx="16">
                  <c:v>86075</c:v>
                </c:pt>
                <c:pt idx="17">
                  <c:v>80923</c:v>
                </c:pt>
                <c:pt idx="18">
                  <c:v>79787</c:v>
                </c:pt>
                <c:pt idx="19">
                  <c:v>79459</c:v>
                </c:pt>
                <c:pt idx="20">
                  <c:v>70092</c:v>
                </c:pt>
              </c:numCache>
            </c:numRef>
          </c:val>
        </c:ser>
        <c:dLbls>
          <c:showVal val="1"/>
        </c:dLbls>
        <c:axId val="69409408"/>
        <c:axId val="69419392"/>
      </c:barChart>
      <c:catAx>
        <c:axId val="69409408"/>
        <c:scaling>
          <c:orientation val="maxMin"/>
        </c:scaling>
        <c:axPos val="l"/>
        <c:numFmt formatCode="#,##0" sourceLinked="0"/>
        <c:tickLblPos val="nextTo"/>
        <c:spPr>
          <a:ln w="3175">
            <a:solidFill>
              <a:srgbClr val="000000"/>
            </a:solidFill>
            <a:prstDash val="solid"/>
          </a:ln>
        </c:spPr>
        <c:txPr>
          <a:bodyPr rot="0" vert="horz"/>
          <a:lstStyle/>
          <a:p>
            <a:pPr>
              <a:defRPr sz="450" b="0" i="0" u="none" strike="noStrike" baseline="0">
                <a:solidFill>
                  <a:srgbClr val="000000"/>
                </a:solidFill>
                <a:latin typeface="Arial"/>
                <a:ea typeface="Arial"/>
                <a:cs typeface="Arial"/>
              </a:defRPr>
            </a:pPr>
            <a:endParaRPr lang="es-MX"/>
          </a:p>
        </c:txPr>
        <c:crossAx val="69419392"/>
        <c:crosses val="autoZero"/>
        <c:auto val="1"/>
        <c:lblAlgn val="ctr"/>
        <c:lblOffset val="100"/>
        <c:tickLblSkip val="1"/>
        <c:tickMarkSkip val="1"/>
      </c:catAx>
      <c:valAx>
        <c:axId val="69419392"/>
        <c:scaling>
          <c:orientation val="minMax"/>
        </c:scaling>
        <c:delete val="1"/>
        <c:axPos val="t"/>
        <c:numFmt formatCode="#,##0" sourceLinked="1"/>
        <c:tickLblPos val="none"/>
        <c:crossAx val="69409408"/>
        <c:crosses val="autoZero"/>
        <c:crossBetween val="between"/>
      </c:valAx>
      <c:spPr>
        <a:noFill/>
        <a:ln w="25400">
          <a:noFill/>
        </a:ln>
      </c:spPr>
    </c:plotArea>
    <c:plotVisOnly val="1"/>
    <c:dispBlanksAs val="gap"/>
  </c:chart>
  <c:spPr>
    <a:solidFill>
      <a:srgbClr val="FFFFFF"/>
    </a:solidFill>
    <a:ln w="3175">
      <a:solidFill>
        <a:srgbClr val="000000"/>
      </a:solidFill>
      <a:prstDash val="solid"/>
    </a:ln>
    <a:effectLst>
      <a:outerShdw blurRad="50800" dist="38100" dir="2700000" algn="tl" rotWithShape="0">
        <a:prstClr val="black">
          <a:alpha val="40000"/>
        </a:prstClr>
      </a:outerShdw>
    </a:effectLst>
  </c:spPr>
  <c:txPr>
    <a:bodyPr/>
    <a:lstStyle/>
    <a:p>
      <a:pPr>
        <a:defRPr sz="1200" b="0" i="0" u="none" strike="noStrike" baseline="0">
          <a:solidFill>
            <a:srgbClr val="000000"/>
          </a:solidFill>
          <a:latin typeface="Arial"/>
          <a:ea typeface="Arial"/>
          <a:cs typeface="Arial"/>
        </a:defRPr>
      </a:pPr>
      <a:endParaRPr lang="es-MX"/>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900" b="0" i="0" u="none" strike="noStrike" baseline="0">
                <a:solidFill>
                  <a:srgbClr val="000000"/>
                </a:solidFill>
                <a:latin typeface="Calibri"/>
                <a:ea typeface="Calibri"/>
                <a:cs typeface="Calibri"/>
              </a:defRPr>
            </a:pPr>
            <a:r>
              <a:rPr lang="es-MX" sz="900"/>
              <a:t>COATZACOALCOS. ESTRUCTURA DE LA POBLACIÓN POR EDADES. 2005 (%)</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plotArea>
      <c:layout>
        <c:manualLayout>
          <c:layoutTarget val="inner"/>
          <c:xMode val="edge"/>
          <c:yMode val="edge"/>
          <c:x val="0.23913487445099221"/>
          <c:y val="0.11629030735658322"/>
          <c:w val="0.71789796144335261"/>
          <c:h val="0.81933508681222456"/>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txPr>
              <a:bodyPr/>
              <a:lstStyle/>
              <a:p>
                <a:pPr>
                  <a:defRPr sz="1000" b="0" i="0" u="none" strike="noStrike" baseline="0">
                    <a:solidFill>
                      <a:srgbClr val="000000"/>
                    </a:solidFill>
                    <a:latin typeface="Calibri"/>
                    <a:ea typeface="Calibri"/>
                    <a:cs typeface="Calibri"/>
                  </a:defRPr>
                </a:pPr>
                <a:endParaRPr lang="es-MX"/>
              </a:p>
            </c:txPr>
            <c:showVal val="1"/>
          </c:dLbls>
          <c:cat>
            <c:strRef>
              <c:f>'POBLACIÓN POR EDADES 2005'!$D$7:$AL$7</c:f>
              <c:strCache>
                <c:ptCount val="35"/>
                <c:pt idx="0">
                  <c:v>0 a 4</c:v>
                </c:pt>
                <c:pt idx="2">
                  <c:v>5 a 9</c:v>
                </c:pt>
                <c:pt idx="4">
                  <c:v>10 a 14</c:v>
                </c:pt>
                <c:pt idx="6">
                  <c:v>15 a 19</c:v>
                </c:pt>
                <c:pt idx="8">
                  <c:v>20 a 24</c:v>
                </c:pt>
                <c:pt idx="10">
                  <c:v>25 a 29</c:v>
                </c:pt>
                <c:pt idx="12">
                  <c:v>30 a 34</c:v>
                </c:pt>
                <c:pt idx="14">
                  <c:v>35 a 39</c:v>
                </c:pt>
                <c:pt idx="16">
                  <c:v>40 a 44</c:v>
                </c:pt>
                <c:pt idx="18">
                  <c:v>45 a 49</c:v>
                </c:pt>
                <c:pt idx="20">
                  <c:v>50 a 54</c:v>
                </c:pt>
                <c:pt idx="22">
                  <c:v>55 a 59</c:v>
                </c:pt>
                <c:pt idx="24">
                  <c:v>60 a 64</c:v>
                </c:pt>
                <c:pt idx="26">
                  <c:v>65 a 69</c:v>
                </c:pt>
                <c:pt idx="28">
                  <c:v>70 a 74</c:v>
                </c:pt>
                <c:pt idx="30">
                  <c:v>75 a 99</c:v>
                </c:pt>
                <c:pt idx="32">
                  <c:v>100 y más</c:v>
                </c:pt>
                <c:pt idx="34">
                  <c:v>NE</c:v>
                </c:pt>
              </c:strCache>
            </c:strRef>
          </c:cat>
          <c:val>
            <c:numRef>
              <c:f>'POBLACIÓN POR EDADES 2005'!$D$9:$AL$9</c:f>
              <c:numCache>
                <c:formatCode>General</c:formatCode>
                <c:ptCount val="35"/>
                <c:pt idx="0" formatCode="0.0">
                  <c:v>8.3217114954540889</c:v>
                </c:pt>
                <c:pt idx="2" formatCode="0.0">
                  <c:v>8.9302083370487555</c:v>
                </c:pt>
                <c:pt idx="4" formatCode="0.0">
                  <c:v>9.8853985725648528</c:v>
                </c:pt>
                <c:pt idx="6" formatCode="0.0">
                  <c:v>9.4242107553421679</c:v>
                </c:pt>
                <c:pt idx="8" formatCode="0.0">
                  <c:v>9.1477834093657151</c:v>
                </c:pt>
                <c:pt idx="10" formatCode="0.0">
                  <c:v>8.1266072912616867</c:v>
                </c:pt>
                <c:pt idx="12" formatCode="0.0">
                  <c:v>8.2710628720622896</c:v>
                </c:pt>
                <c:pt idx="14" formatCode="0.0">
                  <c:v>8.0167497137639767</c:v>
                </c:pt>
                <c:pt idx="16" formatCode="0.0">
                  <c:v>7.3761516319913829</c:v>
                </c:pt>
                <c:pt idx="18" formatCode="0.0">
                  <c:v>5.9979383870196852</c:v>
                </c:pt>
                <c:pt idx="20" formatCode="0.0">
                  <c:v>4.7748811362412305</c:v>
                </c:pt>
                <c:pt idx="22" formatCode="0.0">
                  <c:v>3.166252322881407</c:v>
                </c:pt>
                <c:pt idx="24" formatCode="0.0">
                  <c:v>2.418293426736053</c:v>
                </c:pt>
                <c:pt idx="26" formatCode="0.0">
                  <c:v>1.7088560188041708</c:v>
                </c:pt>
                <c:pt idx="28" formatCode="0.0">
                  <c:v>1.2009430631003377</c:v>
                </c:pt>
                <c:pt idx="30" formatCode="0.0">
                  <c:v>1.6660543652336441</c:v>
                </c:pt>
                <c:pt idx="32" formatCode="0.00">
                  <c:v>1.4980578749692872E-2</c:v>
                </c:pt>
                <c:pt idx="34" formatCode="0.0">
                  <c:v>1.5519166223788439</c:v>
                </c:pt>
              </c:numCache>
            </c:numRef>
          </c:val>
        </c:ser>
        <c:dLbls>
          <c:showVal val="1"/>
        </c:dLbls>
        <c:gapWidth val="70"/>
        <c:shape val="box"/>
        <c:axId val="69455872"/>
        <c:axId val="69457408"/>
        <c:axId val="0"/>
      </c:bar3DChart>
      <c:catAx>
        <c:axId val="69455872"/>
        <c:scaling>
          <c:orientation val="minMax"/>
        </c:scaling>
        <c:axPos val="l"/>
        <c:numFmt formatCode="General" sourceLinked="1"/>
        <c:majorTickMark val="none"/>
        <c:tickLblPos val="nextTo"/>
        <c:txPr>
          <a:bodyPr rot="0" vert="horz"/>
          <a:lstStyle/>
          <a:p>
            <a:pPr>
              <a:defRPr sz="1000" b="0" i="0" u="none" strike="noStrike" baseline="0">
                <a:solidFill>
                  <a:srgbClr val="000000"/>
                </a:solidFill>
                <a:latin typeface="Calibri"/>
                <a:ea typeface="Calibri"/>
                <a:cs typeface="Calibri"/>
              </a:defRPr>
            </a:pPr>
            <a:endParaRPr lang="es-MX"/>
          </a:p>
        </c:txPr>
        <c:crossAx val="69457408"/>
        <c:crosses val="autoZero"/>
        <c:auto val="1"/>
        <c:lblAlgn val="ctr"/>
        <c:lblOffset val="100"/>
      </c:catAx>
      <c:valAx>
        <c:axId val="69457408"/>
        <c:scaling>
          <c:orientation val="minMax"/>
        </c:scaling>
        <c:delete val="1"/>
        <c:axPos val="b"/>
        <c:numFmt formatCode="0.0" sourceLinked="1"/>
        <c:tickLblPos val="none"/>
        <c:crossAx val="69455872"/>
        <c:crosses val="autoZero"/>
        <c:crossBetween val="between"/>
      </c:valAx>
    </c:plotArea>
    <c:plotVisOnly val="1"/>
    <c:dispBlanksAs val="gap"/>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800" b="1" i="0" u="none" strike="noStrike" baseline="0">
                <a:solidFill>
                  <a:srgbClr val="000000"/>
                </a:solidFill>
                <a:latin typeface="Calibri"/>
                <a:ea typeface="Calibri"/>
                <a:cs typeface="Calibri"/>
              </a:defRPr>
            </a:pPr>
            <a:r>
              <a:rPr lang="es-MX" sz="1400" b="0"/>
              <a:t>COATZACOALCOS. POBLACIÓN POR RANGOS DE EDAD Y SEXO. 2005</a:t>
            </a:r>
            <a:r>
              <a:rPr lang="es-MX" sz="1400" b="0" baseline="0"/>
              <a:t> </a:t>
            </a:r>
            <a:r>
              <a:rPr lang="es-MX" sz="1400" b="0"/>
              <a:t>(%)</a:t>
            </a:r>
          </a:p>
        </c:rich>
      </c:tx>
      <c:spPr>
        <a:ln>
          <a:solidFill>
            <a:schemeClr val="tx1"/>
          </a:solidFill>
        </a:ln>
      </c:spPr>
    </c:title>
    <c:plotArea>
      <c:layout>
        <c:manualLayout>
          <c:layoutTarget val="inner"/>
          <c:xMode val="edge"/>
          <c:yMode val="edge"/>
          <c:x val="0.13742736263548044"/>
          <c:y val="0.29223539305118973"/>
          <c:w val="0.75514858462035661"/>
          <c:h val="0.62198096869376862"/>
        </c:manualLayout>
      </c:layout>
      <c:barChart>
        <c:barDir val="bar"/>
        <c:grouping val="clustered"/>
        <c:ser>
          <c:idx val="1"/>
          <c:order val="1"/>
          <c:tx>
            <c:v>MUJERES</c:v>
          </c:tx>
          <c:spPr>
            <a:solidFill>
              <a:srgbClr val="CC3399"/>
            </a:solidFill>
            <a:effectLst>
              <a:outerShdw blurRad="50800" dist="38100" dir="2700000" algn="tl" rotWithShape="0">
                <a:prstClr val="black">
                  <a:alpha val="40000"/>
                </a:prstClr>
              </a:outerShdw>
            </a:effectLst>
            <a:scene3d>
              <a:camera prst="orthographicFront"/>
              <a:lightRig rig="threePt" dir="t"/>
            </a:scene3d>
            <a:sp3d>
              <a:bevelT/>
            </a:sp3d>
          </c:spPr>
          <c:dLbls>
            <c:dLbl>
              <c:idx val="0"/>
              <c:tx>
                <c:rich>
                  <a:bodyPr/>
                  <a:lstStyle/>
                  <a:p>
                    <a:r>
                      <a:rPr lang="en-US" sz="800"/>
                      <a:t>7.9</a:t>
                    </a:r>
                  </a:p>
                </c:rich>
              </c:tx>
              <c:showVal val="1"/>
            </c:dLbl>
            <c:dLbl>
              <c:idx val="1"/>
              <c:tx>
                <c:rich>
                  <a:bodyPr/>
                  <a:lstStyle/>
                  <a:p>
                    <a:r>
                      <a:rPr lang="en-US" sz="800"/>
                      <a:t>8.4</a:t>
                    </a:r>
                  </a:p>
                </c:rich>
              </c:tx>
              <c:showVal val="1"/>
            </c:dLbl>
            <c:dLbl>
              <c:idx val="2"/>
              <c:tx>
                <c:rich>
                  <a:bodyPr/>
                  <a:lstStyle/>
                  <a:p>
                    <a:r>
                      <a:rPr lang="en-US" sz="800"/>
                      <a:t>9.4</a:t>
                    </a:r>
                  </a:p>
                </c:rich>
              </c:tx>
              <c:showVal val="1"/>
            </c:dLbl>
            <c:dLbl>
              <c:idx val="3"/>
              <c:tx>
                <c:rich>
                  <a:bodyPr/>
                  <a:lstStyle/>
                  <a:p>
                    <a:r>
                      <a:rPr lang="en-US" sz="800"/>
                      <a:t>9.1</a:t>
                    </a:r>
                  </a:p>
                </c:rich>
              </c:tx>
              <c:showVal val="1"/>
            </c:dLbl>
            <c:dLbl>
              <c:idx val="4"/>
              <c:tx>
                <c:rich>
                  <a:bodyPr/>
                  <a:lstStyle/>
                  <a:p>
                    <a:r>
                      <a:rPr lang="en-US" sz="800"/>
                      <a:t>9.5</a:t>
                    </a:r>
                  </a:p>
                </c:rich>
              </c:tx>
              <c:showVal val="1"/>
            </c:dLbl>
            <c:dLbl>
              <c:idx val="5"/>
              <c:tx>
                <c:rich>
                  <a:bodyPr/>
                  <a:lstStyle/>
                  <a:p>
                    <a:r>
                      <a:rPr lang="en-US" sz="800"/>
                      <a:t>8.7</a:t>
                    </a:r>
                  </a:p>
                </c:rich>
              </c:tx>
              <c:showVal val="1"/>
            </c:dLbl>
            <c:dLbl>
              <c:idx val="6"/>
              <c:tx>
                <c:rich>
                  <a:bodyPr/>
                  <a:lstStyle/>
                  <a:p>
                    <a:r>
                      <a:rPr lang="en-US" sz="800"/>
                      <a:t>8.8</a:t>
                    </a:r>
                  </a:p>
                </c:rich>
              </c:tx>
              <c:showVal val="1"/>
            </c:dLbl>
            <c:dLbl>
              <c:idx val="7"/>
              <c:tx>
                <c:rich>
                  <a:bodyPr/>
                  <a:lstStyle/>
                  <a:p>
                    <a:r>
                      <a:rPr lang="en-US" sz="800"/>
                      <a:t>8.4</a:t>
                    </a:r>
                  </a:p>
                </c:rich>
              </c:tx>
              <c:showVal val="1"/>
            </c:dLbl>
            <c:dLbl>
              <c:idx val="8"/>
              <c:tx>
                <c:rich>
                  <a:bodyPr/>
                  <a:lstStyle/>
                  <a:p>
                    <a:r>
                      <a:rPr lang="en-US" sz="800"/>
                      <a:t>7.4</a:t>
                    </a:r>
                  </a:p>
                </c:rich>
              </c:tx>
              <c:showVal val="1"/>
            </c:dLbl>
            <c:dLbl>
              <c:idx val="9"/>
              <c:tx>
                <c:rich>
                  <a:bodyPr/>
                  <a:lstStyle/>
                  <a:p>
                    <a:r>
                      <a:rPr lang="en-US" sz="800"/>
                      <a:t>5.9</a:t>
                    </a:r>
                  </a:p>
                </c:rich>
              </c:tx>
              <c:showVal val="1"/>
            </c:dLbl>
            <c:dLbl>
              <c:idx val="10"/>
              <c:tx>
                <c:rich>
                  <a:bodyPr/>
                  <a:lstStyle/>
                  <a:p>
                    <a:r>
                      <a:rPr lang="en-US" sz="800"/>
                      <a:t>4.7</a:t>
                    </a:r>
                  </a:p>
                </c:rich>
              </c:tx>
              <c:showVal val="1"/>
            </c:dLbl>
            <c:dLbl>
              <c:idx val="11"/>
              <c:tx>
                <c:rich>
                  <a:bodyPr/>
                  <a:lstStyle/>
                  <a:p>
                    <a:r>
                      <a:rPr lang="en-US" sz="800"/>
                      <a:t>3.1</a:t>
                    </a:r>
                  </a:p>
                </c:rich>
              </c:tx>
              <c:showVal val="1"/>
            </c:dLbl>
            <c:dLbl>
              <c:idx val="12"/>
              <c:tx>
                <c:rich>
                  <a:bodyPr/>
                  <a:lstStyle/>
                  <a:p>
                    <a:r>
                      <a:rPr lang="en-US" sz="800"/>
                      <a:t>2.4</a:t>
                    </a:r>
                  </a:p>
                </c:rich>
              </c:tx>
              <c:showVal val="1"/>
            </c:dLbl>
            <c:dLbl>
              <c:idx val="13"/>
              <c:tx>
                <c:rich>
                  <a:bodyPr/>
                  <a:lstStyle/>
                  <a:p>
                    <a:r>
                      <a:rPr lang="en-US" sz="800"/>
                      <a:t>1.7</a:t>
                    </a:r>
                  </a:p>
                </c:rich>
              </c:tx>
              <c:showVal val="1"/>
            </c:dLbl>
            <c:dLbl>
              <c:idx val="14"/>
              <c:tx>
                <c:rich>
                  <a:bodyPr/>
                  <a:lstStyle/>
                  <a:p>
                    <a:r>
                      <a:rPr lang="en-US" sz="800"/>
                      <a:t>1.3</a:t>
                    </a:r>
                  </a:p>
                </c:rich>
              </c:tx>
              <c:showVal val="1"/>
            </c:dLbl>
            <c:dLbl>
              <c:idx val="15"/>
              <c:tx>
                <c:rich>
                  <a:bodyPr/>
                  <a:lstStyle/>
                  <a:p>
                    <a:r>
                      <a:rPr lang="en-US" sz="800"/>
                      <a:t>1.8</a:t>
                    </a:r>
                  </a:p>
                </c:rich>
              </c:tx>
              <c:showVal val="1"/>
            </c:dLbl>
            <c:dLbl>
              <c:idx val="16"/>
              <c:delete val="1"/>
            </c:dLbl>
            <c:txPr>
              <a:bodyPr/>
              <a:lstStyle/>
              <a:p>
                <a:pPr>
                  <a:defRPr sz="800" b="0" i="0" u="none" strike="noStrike" baseline="0">
                    <a:solidFill>
                      <a:srgbClr val="000000"/>
                    </a:solidFill>
                    <a:latin typeface="Calibri"/>
                    <a:ea typeface="Calibri"/>
                    <a:cs typeface="Calibri"/>
                  </a:defRPr>
                </a:pPr>
                <a:endParaRPr lang="es-MX"/>
              </a:p>
            </c:txPr>
            <c:showVal val="1"/>
          </c:dLbls>
          <c:cat>
            <c:strRef>
              <c:f>'POB POR EDAD Y SEXO 05'!$A$6:$A$22</c:f>
              <c:strCache>
                <c:ptCount val="17"/>
                <c:pt idx="0">
                  <c:v>0 a 4</c:v>
                </c:pt>
                <c:pt idx="1">
                  <c:v>5 a 9</c:v>
                </c:pt>
                <c:pt idx="2">
                  <c:v>10 a 14</c:v>
                </c:pt>
                <c:pt idx="3">
                  <c:v>15 a 19</c:v>
                </c:pt>
                <c:pt idx="4">
                  <c:v>20 a 24</c:v>
                </c:pt>
                <c:pt idx="5">
                  <c:v>25 a 29</c:v>
                </c:pt>
                <c:pt idx="6">
                  <c:v>30 a 34</c:v>
                </c:pt>
                <c:pt idx="7">
                  <c:v>35 a 39</c:v>
                </c:pt>
                <c:pt idx="8">
                  <c:v>40 a 44</c:v>
                </c:pt>
                <c:pt idx="9">
                  <c:v>45 a 49</c:v>
                </c:pt>
                <c:pt idx="10">
                  <c:v>50 a 54</c:v>
                </c:pt>
                <c:pt idx="11">
                  <c:v>55 a 59</c:v>
                </c:pt>
                <c:pt idx="12">
                  <c:v>60 a 64</c:v>
                </c:pt>
                <c:pt idx="13">
                  <c:v>65 a 69</c:v>
                </c:pt>
                <c:pt idx="14">
                  <c:v>70 a 74</c:v>
                </c:pt>
                <c:pt idx="15">
                  <c:v>75 a 99</c:v>
                </c:pt>
                <c:pt idx="16">
                  <c:v>100 y más</c:v>
                </c:pt>
              </c:strCache>
            </c:strRef>
          </c:cat>
          <c:val>
            <c:numRef>
              <c:f>'POB POR EDAD Y SEXO 05'!$C$6:$C$22</c:f>
              <c:numCache>
                <c:formatCode>General</c:formatCode>
                <c:ptCount val="17"/>
                <c:pt idx="0">
                  <c:v>-7.9</c:v>
                </c:pt>
                <c:pt idx="1">
                  <c:v>-8.4</c:v>
                </c:pt>
                <c:pt idx="2">
                  <c:v>-9.4</c:v>
                </c:pt>
                <c:pt idx="3">
                  <c:v>-9.1</c:v>
                </c:pt>
                <c:pt idx="4">
                  <c:v>-9.5</c:v>
                </c:pt>
                <c:pt idx="5">
                  <c:v>-8.7000000000000011</c:v>
                </c:pt>
                <c:pt idx="6">
                  <c:v>-8.8000000000000007</c:v>
                </c:pt>
                <c:pt idx="7">
                  <c:v>-8.4</c:v>
                </c:pt>
                <c:pt idx="8">
                  <c:v>-7.4</c:v>
                </c:pt>
                <c:pt idx="9">
                  <c:v>-5.9</c:v>
                </c:pt>
                <c:pt idx="10">
                  <c:v>-4.7</c:v>
                </c:pt>
                <c:pt idx="11">
                  <c:v>-3.1</c:v>
                </c:pt>
                <c:pt idx="12">
                  <c:v>-2.4</c:v>
                </c:pt>
                <c:pt idx="13">
                  <c:v>-1.7</c:v>
                </c:pt>
                <c:pt idx="14">
                  <c:v>-1.3</c:v>
                </c:pt>
                <c:pt idx="15">
                  <c:v>-1.8</c:v>
                </c:pt>
                <c:pt idx="16" formatCode="0.0">
                  <c:v>0</c:v>
                </c:pt>
              </c:numCache>
            </c:numRef>
          </c:val>
        </c:ser>
        <c:dLbls>
          <c:showVal val="1"/>
        </c:dLbls>
        <c:gapWidth val="90"/>
        <c:overlap val="-25"/>
        <c:axId val="69549440"/>
        <c:axId val="69555328"/>
      </c:barChart>
      <c:barChart>
        <c:barDir val="bar"/>
        <c:grouping val="clustered"/>
        <c:ser>
          <c:idx val="0"/>
          <c:order val="0"/>
          <c:tx>
            <c:v>HOMBRES</c:v>
          </c:tx>
          <c:spPr>
            <a:effectLst>
              <a:outerShdw blurRad="50800" dist="38100" dir="2700000" algn="tl" rotWithShape="0">
                <a:prstClr val="black">
                  <a:alpha val="40000"/>
                </a:prstClr>
              </a:outerShdw>
            </a:effectLst>
            <a:scene3d>
              <a:camera prst="orthographicFront"/>
              <a:lightRig rig="threePt" dir="t"/>
            </a:scene3d>
            <a:sp3d>
              <a:bevelT/>
            </a:sp3d>
          </c:spPr>
          <c:dLbls>
            <c:dLbl>
              <c:idx val="16"/>
              <c:delete val="1"/>
            </c:dLbl>
            <c:txPr>
              <a:bodyPr/>
              <a:lstStyle/>
              <a:p>
                <a:pPr>
                  <a:defRPr sz="800" b="0" i="0" u="none" strike="noStrike" baseline="0">
                    <a:solidFill>
                      <a:srgbClr val="000000"/>
                    </a:solidFill>
                    <a:latin typeface="Calibri"/>
                    <a:ea typeface="Calibri"/>
                    <a:cs typeface="Calibri"/>
                  </a:defRPr>
                </a:pPr>
                <a:endParaRPr lang="es-MX"/>
              </a:p>
            </c:txPr>
            <c:showVal val="1"/>
          </c:dLbls>
          <c:cat>
            <c:strRef>
              <c:f>'POB POR EDAD Y SEXO 05'!$A$6:$A$22</c:f>
              <c:strCache>
                <c:ptCount val="17"/>
                <c:pt idx="0">
                  <c:v>0 a 4</c:v>
                </c:pt>
                <c:pt idx="1">
                  <c:v>5 a 9</c:v>
                </c:pt>
                <c:pt idx="2">
                  <c:v>10 a 14</c:v>
                </c:pt>
                <c:pt idx="3">
                  <c:v>15 a 19</c:v>
                </c:pt>
                <c:pt idx="4">
                  <c:v>20 a 24</c:v>
                </c:pt>
                <c:pt idx="5">
                  <c:v>25 a 29</c:v>
                </c:pt>
                <c:pt idx="6">
                  <c:v>30 a 34</c:v>
                </c:pt>
                <c:pt idx="7">
                  <c:v>35 a 39</c:v>
                </c:pt>
                <c:pt idx="8">
                  <c:v>40 a 44</c:v>
                </c:pt>
                <c:pt idx="9">
                  <c:v>45 a 49</c:v>
                </c:pt>
                <c:pt idx="10">
                  <c:v>50 a 54</c:v>
                </c:pt>
                <c:pt idx="11">
                  <c:v>55 a 59</c:v>
                </c:pt>
                <c:pt idx="12">
                  <c:v>60 a 64</c:v>
                </c:pt>
                <c:pt idx="13">
                  <c:v>65 a 69</c:v>
                </c:pt>
                <c:pt idx="14">
                  <c:v>70 a 74</c:v>
                </c:pt>
                <c:pt idx="15">
                  <c:v>75 a 99</c:v>
                </c:pt>
                <c:pt idx="16">
                  <c:v>100 y más</c:v>
                </c:pt>
              </c:strCache>
            </c:strRef>
          </c:cat>
          <c:val>
            <c:numRef>
              <c:f>'POB POR EDAD Y SEXO 05'!$B$6:$B$22</c:f>
              <c:numCache>
                <c:formatCode>General</c:formatCode>
                <c:ptCount val="17"/>
                <c:pt idx="0">
                  <c:v>8.8000000000000007</c:v>
                </c:pt>
                <c:pt idx="1">
                  <c:v>9.5</c:v>
                </c:pt>
                <c:pt idx="2">
                  <c:v>10.4</c:v>
                </c:pt>
                <c:pt idx="3">
                  <c:v>9.8000000000000007</c:v>
                </c:pt>
                <c:pt idx="4">
                  <c:v>8.8000000000000007</c:v>
                </c:pt>
                <c:pt idx="5">
                  <c:v>7.5</c:v>
                </c:pt>
                <c:pt idx="6">
                  <c:v>7.7</c:v>
                </c:pt>
                <c:pt idx="7">
                  <c:v>7.6</c:v>
                </c:pt>
                <c:pt idx="8">
                  <c:v>7.4</c:v>
                </c:pt>
                <c:pt idx="9">
                  <c:v>6.2</c:v>
                </c:pt>
                <c:pt idx="10">
                  <c:v>4.9000000000000004</c:v>
                </c:pt>
                <c:pt idx="11">
                  <c:v>3.2</c:v>
                </c:pt>
                <c:pt idx="12">
                  <c:v>2.4</c:v>
                </c:pt>
                <c:pt idx="13">
                  <c:v>1.7</c:v>
                </c:pt>
                <c:pt idx="14">
                  <c:v>1.1000000000000001</c:v>
                </c:pt>
                <c:pt idx="15">
                  <c:v>1.5</c:v>
                </c:pt>
                <c:pt idx="16" formatCode="0.0">
                  <c:v>0</c:v>
                </c:pt>
              </c:numCache>
            </c:numRef>
          </c:val>
        </c:ser>
        <c:dLbls>
          <c:showVal val="1"/>
        </c:dLbls>
        <c:gapWidth val="90"/>
        <c:overlap val="-5"/>
        <c:axId val="69591424"/>
        <c:axId val="69556864"/>
      </c:barChart>
      <c:catAx>
        <c:axId val="69549440"/>
        <c:scaling>
          <c:orientation val="minMax"/>
        </c:scaling>
        <c:axPos val="l"/>
        <c:numFmt formatCode="General" sourceLinked="1"/>
        <c:majorTickMark val="none"/>
        <c:tickLblPos val="low"/>
        <c:txPr>
          <a:bodyPr rot="0" vert="horz"/>
          <a:lstStyle/>
          <a:p>
            <a:pPr>
              <a:defRPr sz="800" b="0" i="0" u="none" strike="noStrike" baseline="0">
                <a:solidFill>
                  <a:srgbClr val="000000"/>
                </a:solidFill>
                <a:latin typeface="Calibri"/>
                <a:ea typeface="Calibri"/>
                <a:cs typeface="Calibri"/>
              </a:defRPr>
            </a:pPr>
            <a:endParaRPr lang="es-MX"/>
          </a:p>
        </c:txPr>
        <c:crossAx val="69555328"/>
        <c:crosses val="autoZero"/>
        <c:auto val="1"/>
        <c:lblAlgn val="ctr"/>
        <c:lblOffset val="100"/>
      </c:catAx>
      <c:valAx>
        <c:axId val="69555328"/>
        <c:scaling>
          <c:orientation val="minMax"/>
        </c:scaling>
        <c:delete val="1"/>
        <c:axPos val="b"/>
        <c:numFmt formatCode="General" sourceLinked="1"/>
        <c:tickLblPos val="none"/>
        <c:crossAx val="69549440"/>
        <c:crosses val="autoZero"/>
        <c:crossBetween val="between"/>
      </c:valAx>
      <c:valAx>
        <c:axId val="69556864"/>
        <c:scaling>
          <c:orientation val="minMax"/>
        </c:scaling>
        <c:delete val="1"/>
        <c:axPos val="t"/>
        <c:numFmt formatCode="General" sourceLinked="1"/>
        <c:tickLblPos val="none"/>
        <c:crossAx val="69591424"/>
        <c:crosses val="max"/>
        <c:crossBetween val="between"/>
      </c:valAx>
      <c:catAx>
        <c:axId val="69591424"/>
        <c:scaling>
          <c:orientation val="minMax"/>
        </c:scaling>
        <c:delete val="1"/>
        <c:axPos val="l"/>
        <c:tickLblPos val="none"/>
        <c:crossAx val="69556864"/>
        <c:crosses val="autoZero"/>
        <c:auto val="1"/>
        <c:lblAlgn val="ctr"/>
        <c:lblOffset val="100"/>
      </c:catAx>
    </c:plotArea>
    <c:legend>
      <c:legendPos val="t"/>
      <c:layout>
        <c:manualLayout>
          <c:xMode val="edge"/>
          <c:yMode val="edge"/>
          <c:x val="0.35209847680138134"/>
          <c:y val="0.19930152308551383"/>
          <c:w val="0.34838375785369696"/>
          <c:h val="3.6649555009826612E-2"/>
        </c:manualLayout>
      </c:layout>
      <c:txPr>
        <a:bodyPr/>
        <a:lstStyle/>
        <a:p>
          <a:pPr>
            <a:defRPr sz="920" b="0" i="0" u="none" strike="noStrike" baseline="0">
              <a:solidFill>
                <a:srgbClr val="000000"/>
              </a:solidFill>
              <a:latin typeface="Calibri"/>
              <a:ea typeface="Calibri"/>
              <a:cs typeface="Calibri"/>
            </a:defRPr>
          </a:pPr>
          <a:endParaRPr lang="es-MX"/>
        </a:p>
      </c:txPr>
    </c:legend>
    <c:plotVisOnly val="1"/>
    <c:dispBlanksAs val="gap"/>
  </c:chart>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POBLACIÓN POR SEXO Y GRANDES RANGOS DE EDAD. 2005</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15597462817148086"/>
          <c:y val="0.30609981044036161"/>
          <c:w val="0.81346981627296588"/>
          <c:h val="0.61056685622630502"/>
        </c:manualLayout>
      </c:layout>
      <c:barChart>
        <c:barDir val="bar"/>
        <c:grouping val="clustered"/>
        <c:ser>
          <c:idx val="1"/>
          <c:order val="1"/>
          <c:tx>
            <c:v>MUJERES</c:v>
          </c:tx>
          <c:spPr>
            <a:solidFill>
              <a:srgbClr val="CC3399"/>
            </a:solidFill>
            <a:effectLst>
              <a:outerShdw blurRad="50800" dist="38100" dir="2700000" algn="tl" rotWithShape="0">
                <a:prstClr val="black">
                  <a:alpha val="40000"/>
                </a:prstClr>
              </a:outerShdw>
            </a:effectLst>
            <a:scene3d>
              <a:camera prst="orthographicFront"/>
              <a:lightRig rig="threePt" dir="t"/>
            </a:scene3d>
            <a:sp3d>
              <a:bevelT/>
            </a:sp3d>
          </c:spPr>
          <c:dLbls>
            <c:dLbl>
              <c:idx val="0"/>
              <c:tx>
                <c:rich>
                  <a:bodyPr/>
                  <a:lstStyle/>
                  <a:p>
                    <a:r>
                      <a:rPr lang="en-US"/>
                      <a:t>25.7</a:t>
                    </a:r>
                  </a:p>
                </c:rich>
              </c:tx>
              <c:showVal val="1"/>
            </c:dLbl>
            <c:dLbl>
              <c:idx val="1"/>
              <c:tx>
                <c:rich>
                  <a:bodyPr/>
                  <a:lstStyle/>
                  <a:p>
                    <a:r>
                      <a:rPr lang="en-US"/>
                      <a:t>27.3</a:t>
                    </a:r>
                  </a:p>
                </c:rich>
              </c:tx>
              <c:showVal val="1"/>
            </c:dLbl>
            <c:dLbl>
              <c:idx val="2"/>
              <c:tx>
                <c:rich>
                  <a:bodyPr/>
                  <a:lstStyle/>
                  <a:p>
                    <a:r>
                      <a:rPr lang="en-US"/>
                      <a:t>24.6</a:t>
                    </a:r>
                  </a:p>
                </c:rich>
              </c:tx>
              <c:showVal val="1"/>
            </c:dLbl>
            <c:dLbl>
              <c:idx val="3"/>
              <c:tx>
                <c:rich>
                  <a:bodyPr/>
                  <a:lstStyle/>
                  <a:p>
                    <a:r>
                      <a:rPr lang="en-US"/>
                      <a:t>13.6</a:t>
                    </a:r>
                  </a:p>
                </c:rich>
              </c:tx>
              <c:showVal val="1"/>
            </c:dLbl>
            <c:dLbl>
              <c:idx val="4"/>
              <c:tx>
                <c:rich>
                  <a:bodyPr/>
                  <a:lstStyle/>
                  <a:p>
                    <a:r>
                      <a:rPr lang="en-US"/>
                      <a:t>7.3</a:t>
                    </a:r>
                  </a:p>
                </c:rich>
              </c:tx>
              <c:showVal val="1"/>
            </c:dLbl>
            <c:txPr>
              <a:bodyPr/>
              <a:lstStyle/>
              <a:p>
                <a:pPr>
                  <a:defRPr sz="1000" b="0" i="0" u="none" strike="noStrike" baseline="0">
                    <a:solidFill>
                      <a:srgbClr val="000000"/>
                    </a:solidFill>
                    <a:latin typeface="Calibri"/>
                    <a:ea typeface="Calibri"/>
                    <a:cs typeface="Calibri"/>
                  </a:defRPr>
                </a:pPr>
                <a:endParaRPr lang="es-MX"/>
              </a:p>
            </c:txPr>
            <c:showVal val="1"/>
          </c:dLbls>
          <c:cat>
            <c:strRef>
              <c:f>'POB X SEXO Y GRANDES RANGOS EDA'!$A$8:$A$12</c:f>
              <c:strCache>
                <c:ptCount val="5"/>
                <c:pt idx="0">
                  <c:v>0-14</c:v>
                </c:pt>
                <c:pt idx="1">
                  <c:v>15-29</c:v>
                </c:pt>
                <c:pt idx="2">
                  <c:v>30-44</c:v>
                </c:pt>
                <c:pt idx="3">
                  <c:v>45-59</c:v>
                </c:pt>
                <c:pt idx="4">
                  <c:v>60 y más</c:v>
                </c:pt>
              </c:strCache>
            </c:strRef>
          </c:cat>
          <c:val>
            <c:numRef>
              <c:f>'POB X SEXO Y GRANDES RANGOS EDA'!$C$8:$C$12</c:f>
              <c:numCache>
                <c:formatCode>General</c:formatCode>
                <c:ptCount val="5"/>
                <c:pt idx="0">
                  <c:v>-25.7</c:v>
                </c:pt>
                <c:pt idx="1">
                  <c:v>-27.3</c:v>
                </c:pt>
                <c:pt idx="2">
                  <c:v>-24.6</c:v>
                </c:pt>
                <c:pt idx="3">
                  <c:v>-13.6</c:v>
                </c:pt>
                <c:pt idx="4">
                  <c:v>-7.3</c:v>
                </c:pt>
              </c:numCache>
            </c:numRef>
          </c:val>
        </c:ser>
        <c:dLbls>
          <c:showVal val="1"/>
        </c:dLbls>
        <c:overlap val="-25"/>
        <c:axId val="75127424"/>
        <c:axId val="75149696"/>
      </c:barChart>
      <c:barChart>
        <c:barDir val="bar"/>
        <c:grouping val="clustered"/>
        <c:ser>
          <c:idx val="0"/>
          <c:order val="0"/>
          <c:tx>
            <c:v>HOMBRES</c:v>
          </c:tx>
          <c:spPr>
            <a:effectLst>
              <a:outerShdw blurRad="50800" dist="38100" dir="2700000" algn="tl" rotWithShape="0">
                <a:prstClr val="black">
                  <a:alpha val="40000"/>
                </a:prstClr>
              </a:outerShdw>
            </a:effectLst>
            <a:scene3d>
              <a:camera prst="orthographicFront"/>
              <a:lightRig rig="threePt" dir="t"/>
            </a:scene3d>
            <a:sp3d>
              <a:bevelT/>
            </a:sp3d>
          </c:spPr>
          <c:dLbls>
            <c:txPr>
              <a:bodyPr/>
              <a:lstStyle/>
              <a:p>
                <a:pPr>
                  <a:defRPr sz="1000" b="0" i="0" u="none" strike="noStrike" baseline="0">
                    <a:solidFill>
                      <a:srgbClr val="000000"/>
                    </a:solidFill>
                    <a:latin typeface="Calibri"/>
                    <a:ea typeface="Calibri"/>
                    <a:cs typeface="Calibri"/>
                  </a:defRPr>
                </a:pPr>
                <a:endParaRPr lang="es-MX"/>
              </a:p>
            </c:txPr>
            <c:showVal val="1"/>
          </c:dLbls>
          <c:cat>
            <c:strRef>
              <c:f>'POB X SEXO Y GRANDES RANGOS EDA'!$A$8:$A$12</c:f>
              <c:strCache>
                <c:ptCount val="5"/>
                <c:pt idx="0">
                  <c:v>0-14</c:v>
                </c:pt>
                <c:pt idx="1">
                  <c:v>15-29</c:v>
                </c:pt>
                <c:pt idx="2">
                  <c:v>30-44</c:v>
                </c:pt>
                <c:pt idx="3">
                  <c:v>45-59</c:v>
                </c:pt>
                <c:pt idx="4">
                  <c:v>60 y más</c:v>
                </c:pt>
              </c:strCache>
            </c:strRef>
          </c:cat>
          <c:val>
            <c:numRef>
              <c:f>'POB X SEXO Y GRANDES RANGOS EDA'!$B$8:$B$12</c:f>
              <c:numCache>
                <c:formatCode>General</c:formatCode>
                <c:ptCount val="5"/>
                <c:pt idx="0">
                  <c:v>28.7</c:v>
                </c:pt>
                <c:pt idx="1">
                  <c:v>26</c:v>
                </c:pt>
                <c:pt idx="2">
                  <c:v>22.7</c:v>
                </c:pt>
                <c:pt idx="3">
                  <c:v>14.3</c:v>
                </c:pt>
                <c:pt idx="4">
                  <c:v>6.7</c:v>
                </c:pt>
              </c:numCache>
            </c:numRef>
          </c:val>
        </c:ser>
        <c:dLbls>
          <c:showVal val="1"/>
        </c:dLbls>
        <c:overlap val="-25"/>
        <c:axId val="75152768"/>
        <c:axId val="75151232"/>
      </c:barChart>
      <c:catAx>
        <c:axId val="75127424"/>
        <c:scaling>
          <c:orientation val="minMax"/>
        </c:scaling>
        <c:axPos val="l"/>
        <c:numFmt formatCode="General" sourceLinked="1"/>
        <c:majorTickMark val="none"/>
        <c:tickLblPos val="low"/>
        <c:txPr>
          <a:bodyPr rot="0" vert="horz"/>
          <a:lstStyle/>
          <a:p>
            <a:pPr>
              <a:defRPr sz="1000" b="0" i="0" u="none" strike="noStrike" baseline="0">
                <a:solidFill>
                  <a:srgbClr val="000000"/>
                </a:solidFill>
                <a:latin typeface="Calibri"/>
                <a:ea typeface="Calibri"/>
                <a:cs typeface="Calibri"/>
              </a:defRPr>
            </a:pPr>
            <a:endParaRPr lang="es-MX"/>
          </a:p>
        </c:txPr>
        <c:crossAx val="75149696"/>
        <c:crosses val="autoZero"/>
        <c:auto val="1"/>
        <c:lblAlgn val="ctr"/>
        <c:lblOffset val="100"/>
      </c:catAx>
      <c:valAx>
        <c:axId val="75149696"/>
        <c:scaling>
          <c:orientation val="minMax"/>
        </c:scaling>
        <c:delete val="1"/>
        <c:axPos val="b"/>
        <c:numFmt formatCode="General" sourceLinked="1"/>
        <c:tickLblPos val="none"/>
        <c:crossAx val="75127424"/>
        <c:crosses val="autoZero"/>
        <c:crossBetween val="between"/>
      </c:valAx>
      <c:valAx>
        <c:axId val="75151232"/>
        <c:scaling>
          <c:orientation val="minMax"/>
        </c:scaling>
        <c:delete val="1"/>
        <c:axPos val="t"/>
        <c:numFmt formatCode="General" sourceLinked="1"/>
        <c:tickLblPos val="none"/>
        <c:crossAx val="75152768"/>
        <c:crosses val="max"/>
        <c:crossBetween val="between"/>
      </c:valAx>
      <c:catAx>
        <c:axId val="75152768"/>
        <c:scaling>
          <c:orientation val="minMax"/>
        </c:scaling>
        <c:delete val="1"/>
        <c:axPos val="l"/>
        <c:tickLblPos val="none"/>
        <c:crossAx val="75151232"/>
        <c:crosses val="autoZero"/>
        <c:auto val="1"/>
        <c:lblAlgn val="ctr"/>
        <c:lblOffset val="100"/>
      </c:catAx>
    </c:plotArea>
    <c:legend>
      <c:legendPos val="t"/>
      <c:layout>
        <c:manualLayout>
          <c:xMode val="edge"/>
          <c:yMode val="edge"/>
          <c:x val="0.40802405949256337"/>
          <c:y val="0.18518518518518787"/>
          <c:w val="0.31172965879265663"/>
          <c:h val="7.9247958588509776E-2"/>
        </c:manualLayout>
      </c:layout>
      <c:txPr>
        <a:bodyPr/>
        <a:lstStyle/>
        <a:p>
          <a:pPr>
            <a:defRPr sz="920" b="0" i="0" u="none" strike="noStrike" baseline="0">
              <a:solidFill>
                <a:srgbClr val="000000"/>
              </a:solidFill>
              <a:latin typeface="Calibri"/>
              <a:ea typeface="Calibri"/>
              <a:cs typeface="Calibri"/>
            </a:defRPr>
          </a:pPr>
          <a:endParaRPr lang="es-MX"/>
        </a:p>
      </c:txPr>
    </c:legend>
    <c:plotVisOnly val="1"/>
    <c:dispBlanksAs val="gap"/>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PROPORCIÓN DE LOS HOGARES POR TIPO DE JEFATURA. 2005(%)</a:t>
            </a: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pie3DChart>
        <c:varyColors val="1"/>
        <c:ser>
          <c:idx val="0"/>
          <c:order val="0"/>
          <c:explosion val="25"/>
          <c:dPt>
            <c:idx val="1"/>
            <c:spPr>
              <a:solidFill>
                <a:srgbClr val="CC3399"/>
              </a:solidFill>
            </c:spPr>
          </c:dPt>
          <c:dLbls>
            <c:dLbl>
              <c:idx val="0"/>
              <c:layout>
                <c:manualLayout>
                  <c:x val="-0.17340054815718228"/>
                  <c:y val="-0.24610562702070568"/>
                </c:manualLayout>
              </c:layout>
              <c:showCatName val="1"/>
              <c:showPercent val="1"/>
            </c:dLbl>
            <c:txPr>
              <a:bodyPr/>
              <a:lstStyle/>
              <a:p>
                <a:pPr>
                  <a:defRPr sz="800" b="0" i="0" u="none" strike="noStrike" baseline="0">
                    <a:solidFill>
                      <a:srgbClr val="000000"/>
                    </a:solidFill>
                    <a:latin typeface="Calibri"/>
                    <a:ea typeface="Calibri"/>
                    <a:cs typeface="Calibri"/>
                  </a:defRPr>
                </a:pPr>
                <a:endParaRPr lang="es-MX"/>
              </a:p>
            </c:txPr>
            <c:showCatName val="1"/>
            <c:showPercent val="1"/>
            <c:showLeaderLines val="1"/>
          </c:dLbls>
          <c:cat>
            <c:strRef>
              <c:f>'HOGARES X TIPO DE JEFATURA 05'!$I$1:$J$1</c:f>
              <c:strCache>
                <c:ptCount val="2"/>
                <c:pt idx="0">
                  <c:v>Hogares con jefatura masculina</c:v>
                </c:pt>
                <c:pt idx="1">
                  <c:v>Hogares con jefatura femenina</c:v>
                </c:pt>
              </c:strCache>
            </c:strRef>
          </c:cat>
          <c:val>
            <c:numRef>
              <c:f>'HOGARES X TIPO DE JEFATURA 05'!$I$2:$J$2</c:f>
              <c:numCache>
                <c:formatCode>0.0</c:formatCode>
                <c:ptCount val="2"/>
                <c:pt idx="0">
                  <c:v>73.122509052072189</c:v>
                </c:pt>
                <c:pt idx="1">
                  <c:v>26.877490947927789</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COATZACOALCOS. PROPORCIÓN DE LA POBLACIÓN CON HOGARES POR TIPO DE JEFATURA. 2005(%)</a:t>
            </a: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4781188474855947"/>
          <c:y val="0.29734563722521462"/>
          <c:w val="0.71604930550627865"/>
          <c:h val="0.5678895341702197"/>
        </c:manualLayout>
      </c:layout>
      <c:pie3DChart>
        <c:varyColors val="1"/>
        <c:ser>
          <c:idx val="0"/>
          <c:order val="0"/>
          <c:explosion val="25"/>
          <c:dPt>
            <c:idx val="1"/>
            <c:spPr>
              <a:solidFill>
                <a:srgbClr val="CC3399"/>
              </a:solidFill>
            </c:spPr>
          </c:dPt>
          <c:dLbls>
            <c:dLbl>
              <c:idx val="0"/>
              <c:layout>
                <c:manualLayout>
                  <c:x val="-0.19483517430881817"/>
                  <c:y val="-0.301359858583158"/>
                </c:manualLayout>
              </c:layout>
              <c:showCatName val="1"/>
              <c:showPercent val="1"/>
            </c:dLbl>
            <c:txPr>
              <a:bodyPr/>
              <a:lstStyle/>
              <a:p>
                <a:pPr>
                  <a:defRPr sz="800" b="0" i="0" u="none" strike="noStrike" baseline="0">
                    <a:solidFill>
                      <a:srgbClr val="000000"/>
                    </a:solidFill>
                    <a:latin typeface="Calibri"/>
                    <a:ea typeface="Calibri"/>
                    <a:cs typeface="Calibri"/>
                  </a:defRPr>
                </a:pPr>
                <a:endParaRPr lang="es-MX"/>
              </a:p>
            </c:txPr>
            <c:showCatName val="1"/>
            <c:showPercent val="1"/>
            <c:showLeaderLines val="1"/>
          </c:dLbls>
          <c:cat>
            <c:strRef>
              <c:f>'HOGARES X TIPO DE JEFATURA 05'!$K$1:$L$1</c:f>
              <c:strCache>
                <c:ptCount val="2"/>
                <c:pt idx="0">
                  <c:v>Población en hogares con jefatura masculina</c:v>
                </c:pt>
                <c:pt idx="1">
                  <c:v>Población en hogares con jefatura femenina</c:v>
                </c:pt>
              </c:strCache>
            </c:strRef>
          </c:cat>
          <c:val>
            <c:numRef>
              <c:f>'HOGARES X TIPO DE JEFATURA 05'!$K$2:$L$2</c:f>
              <c:numCache>
                <c:formatCode>0.0</c:formatCode>
                <c:ptCount val="2"/>
                <c:pt idx="0">
                  <c:v>76.213122389278439</c:v>
                </c:pt>
                <c:pt idx="1">
                  <c:v>23.786877610723689</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es-MX"/>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400"/>
              <a:t>Coatzacoalcos.</a:t>
            </a:r>
            <a:r>
              <a:rPr lang="es-MX" sz="1400" baseline="0"/>
              <a:t> Participación de la población inactiva en el total 2000-2030</a:t>
            </a:r>
            <a:endParaRPr lang="es-MX" sz="14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2.9434588317144312E-2"/>
          <c:y val="0.31161820977832688"/>
          <c:w val="0.94113082336571163"/>
          <c:h val="0.5152547102227385"/>
        </c:manualLayout>
      </c:layout>
      <c:lineChart>
        <c:grouping val="standard"/>
        <c:ser>
          <c:idx val="0"/>
          <c:order val="0"/>
          <c:tx>
            <c:strRef>
              <c:f>'Bono Demografico'!$A$16</c:f>
              <c:strCache>
                <c:ptCount val="1"/>
                <c:pt idx="0">
                  <c:v>0-14</c:v>
                </c:pt>
              </c:strCache>
            </c:strRef>
          </c:tx>
          <c:spPr>
            <a:ln w="19050">
              <a:solidFill>
                <a:srgbClr val="0000FF">
                  <a:alpha val="87000"/>
                </a:srgbClr>
              </a:solidFill>
            </a:ln>
            <a:effectLst>
              <a:outerShdw blurRad="50800" dist="38100" dir="2700000" algn="tl" rotWithShape="0">
                <a:prstClr val="black">
                  <a:alpha val="40000"/>
                </a:prstClr>
              </a:outerShdw>
            </a:effectLst>
          </c:spPr>
          <c:marker>
            <c:spPr>
              <a:solidFill>
                <a:srgbClr val="0000CC"/>
              </a:solidFill>
              <a:ln>
                <a:solidFill>
                  <a:srgbClr val="0000FF"/>
                </a:solidFill>
              </a:ln>
              <a:effectLst>
                <a:outerShdw blurRad="50800" dist="38100" dir="2700000" algn="tl" rotWithShape="0">
                  <a:prstClr val="black">
                    <a:alpha val="40000"/>
                  </a:prstClr>
                </a:outerShdw>
              </a:effectLst>
              <a:scene3d>
                <a:camera prst="orthographicFront"/>
                <a:lightRig rig="threePt" dir="t"/>
              </a:scene3d>
              <a:sp3d>
                <a:bevelT/>
              </a:sp3d>
            </c:spPr>
          </c:marker>
          <c:cat>
            <c:numRef>
              <c:f>'Bono Demografico'!$B$15:$H$15</c:f>
              <c:numCache>
                <c:formatCode>General</c:formatCode>
                <c:ptCount val="7"/>
                <c:pt idx="0">
                  <c:v>2000</c:v>
                </c:pt>
                <c:pt idx="1">
                  <c:v>2005</c:v>
                </c:pt>
                <c:pt idx="2">
                  <c:v>2010</c:v>
                </c:pt>
                <c:pt idx="3">
                  <c:v>2015</c:v>
                </c:pt>
                <c:pt idx="4">
                  <c:v>2020</c:v>
                </c:pt>
                <c:pt idx="5">
                  <c:v>2025</c:v>
                </c:pt>
                <c:pt idx="6">
                  <c:v>2030</c:v>
                </c:pt>
              </c:numCache>
            </c:numRef>
          </c:cat>
          <c:val>
            <c:numRef>
              <c:f>'Bono Demografico'!$B$16:$H$16</c:f>
              <c:numCache>
                <c:formatCode>0.0</c:formatCode>
                <c:ptCount val="7"/>
                <c:pt idx="0">
                  <c:v>46.249059548026011</c:v>
                </c:pt>
                <c:pt idx="1">
                  <c:v>39.3580714629638</c:v>
                </c:pt>
                <c:pt idx="2">
                  <c:v>32.979951289208884</c:v>
                </c:pt>
                <c:pt idx="3">
                  <c:v>29.176346621841986</c:v>
                </c:pt>
                <c:pt idx="4">
                  <c:v>27.572986121338001</c:v>
                </c:pt>
                <c:pt idx="5">
                  <c:v>26.572170717360628</c:v>
                </c:pt>
                <c:pt idx="6">
                  <c:v>25.43607148994673</c:v>
                </c:pt>
              </c:numCache>
            </c:numRef>
          </c:val>
          <c:smooth val="1"/>
        </c:ser>
        <c:ser>
          <c:idx val="1"/>
          <c:order val="1"/>
          <c:tx>
            <c:strRef>
              <c:f>'Bono Demografico'!$A$17</c:f>
              <c:strCache>
                <c:ptCount val="1"/>
                <c:pt idx="0">
                  <c:v>60 o mas</c:v>
                </c:pt>
              </c:strCache>
            </c:strRef>
          </c:tx>
          <c:spPr>
            <a:ln w="22225">
              <a:solidFill>
                <a:srgbClr val="BD037F">
                  <a:alpha val="99000"/>
                </a:srgbClr>
              </a:solidFill>
            </a:ln>
            <a:effectLst>
              <a:outerShdw blurRad="50800" dist="38100" dir="2700000" algn="tl" rotWithShape="0">
                <a:prstClr val="black">
                  <a:alpha val="40000"/>
                </a:prstClr>
              </a:outerShdw>
            </a:effectLst>
          </c:spPr>
          <c:marker>
            <c:symbol val="diamond"/>
            <c:size val="5"/>
            <c:spPr>
              <a:solidFill>
                <a:srgbClr val="BD037F"/>
              </a:solidFill>
              <a:ln w="12700">
                <a:solidFill>
                  <a:srgbClr val="BD037F"/>
                </a:solidFill>
              </a:ln>
              <a:effectLst>
                <a:outerShdw blurRad="50800" dist="38100" dir="2700000" algn="tl" rotWithShape="0">
                  <a:prstClr val="black">
                    <a:alpha val="40000"/>
                  </a:prstClr>
                </a:outerShdw>
              </a:effectLst>
              <a:scene3d>
                <a:camera prst="orthographicFront"/>
                <a:lightRig rig="threePt" dir="t"/>
              </a:scene3d>
              <a:sp3d>
                <a:bevelT/>
              </a:sp3d>
            </c:spPr>
          </c:marker>
          <c:cat>
            <c:numRef>
              <c:f>'Bono Demografico'!$B$15:$H$15</c:f>
              <c:numCache>
                <c:formatCode>General</c:formatCode>
                <c:ptCount val="7"/>
                <c:pt idx="0">
                  <c:v>2000</c:v>
                </c:pt>
                <c:pt idx="1">
                  <c:v>2005</c:v>
                </c:pt>
                <c:pt idx="2">
                  <c:v>2010</c:v>
                </c:pt>
                <c:pt idx="3">
                  <c:v>2015</c:v>
                </c:pt>
                <c:pt idx="4">
                  <c:v>2020</c:v>
                </c:pt>
                <c:pt idx="5">
                  <c:v>2025</c:v>
                </c:pt>
                <c:pt idx="6">
                  <c:v>2030</c:v>
                </c:pt>
              </c:numCache>
            </c:numRef>
          </c:cat>
          <c:val>
            <c:numRef>
              <c:f>'Bono Demografico'!$B$17:$H$17</c:f>
              <c:numCache>
                <c:formatCode>0.0</c:formatCode>
                <c:ptCount val="7"/>
                <c:pt idx="0">
                  <c:v>8.1589433499595909</c:v>
                </c:pt>
                <c:pt idx="1">
                  <c:v>9.7739069700994214</c:v>
                </c:pt>
                <c:pt idx="2">
                  <c:v>11.777537105114632</c:v>
                </c:pt>
                <c:pt idx="3">
                  <c:v>14.613512632028009</c:v>
                </c:pt>
                <c:pt idx="4">
                  <c:v>18.508945211531529</c:v>
                </c:pt>
                <c:pt idx="5">
                  <c:v>23.202173788565517</c:v>
                </c:pt>
                <c:pt idx="6">
                  <c:v>28.301684138168071</c:v>
                </c:pt>
              </c:numCache>
            </c:numRef>
          </c:val>
          <c:smooth val="1"/>
        </c:ser>
        <c:dLbls>
          <c:showVal val="1"/>
        </c:dLbls>
        <c:marker val="1"/>
        <c:axId val="75510144"/>
        <c:axId val="75511680"/>
      </c:lineChart>
      <c:catAx>
        <c:axId val="75510144"/>
        <c:scaling>
          <c:orientation val="minMax"/>
        </c:scaling>
        <c:axPos val="b"/>
        <c:numFmt formatCode="General" sourceLinked="1"/>
        <c:majorTickMark val="none"/>
        <c:tickLblPos val="nextTo"/>
        <c:crossAx val="75511680"/>
        <c:crosses val="autoZero"/>
        <c:auto val="1"/>
        <c:lblAlgn val="ctr"/>
        <c:lblOffset val="100"/>
      </c:catAx>
      <c:valAx>
        <c:axId val="75511680"/>
        <c:scaling>
          <c:orientation val="minMax"/>
        </c:scaling>
        <c:delete val="1"/>
        <c:axPos val="l"/>
        <c:numFmt formatCode="0.0" sourceLinked="1"/>
        <c:tickLblPos val="none"/>
        <c:crossAx val="75510144"/>
        <c:crosses val="autoZero"/>
        <c:crossBetween val="between"/>
      </c:valAx>
    </c:plotArea>
    <c:legend>
      <c:legendPos val="t"/>
      <c:layout>
        <c:manualLayout>
          <c:xMode val="edge"/>
          <c:yMode val="edge"/>
          <c:x val="0.77027543243843344"/>
          <c:y val="0.66549614134054169"/>
          <c:w val="0.20687221326249891"/>
          <c:h val="0.18556916206369883"/>
        </c:manualLayout>
      </c:layout>
    </c:legend>
    <c:plotVisOnly val="1"/>
    <c:dispBlanksAs val="gap"/>
  </c:chart>
  <c:spPr>
    <a:effectLst>
      <a:outerShdw blurRad="50800" dist="38100" dir="2700000" algn="tl" rotWithShape="0">
        <a:prstClr val="black">
          <a:alpha val="40000"/>
        </a:prstClr>
      </a:outerShdw>
    </a:effectLst>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es-MX" sz="1200" b="0" i="0" baseline="0"/>
              <a:t>COATZACOALCOS. TASA DE DEPENDENCIA ECONOMICA Y BONO DEMOGRAFICO (2000-2030)</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3.0548766940679848E-2"/>
          <c:y val="0.22825130793092271"/>
          <c:w val="0.9389024661186407"/>
          <c:h val="0.56580922199299832"/>
        </c:manualLayout>
      </c:layout>
      <c:lineChart>
        <c:grouping val="standard"/>
        <c:ser>
          <c:idx val="0"/>
          <c:order val="0"/>
          <c:spPr>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showVal val="1"/>
          </c:dLbls>
          <c:cat>
            <c:numRef>
              <c:f>'Bono Demografico'!$B$19:$H$19</c:f>
              <c:numCache>
                <c:formatCode>General</c:formatCode>
                <c:ptCount val="7"/>
                <c:pt idx="0">
                  <c:v>2000</c:v>
                </c:pt>
                <c:pt idx="1">
                  <c:v>2005</c:v>
                </c:pt>
                <c:pt idx="2">
                  <c:v>2010</c:v>
                </c:pt>
                <c:pt idx="3">
                  <c:v>2015</c:v>
                </c:pt>
                <c:pt idx="4">
                  <c:v>2020</c:v>
                </c:pt>
                <c:pt idx="5">
                  <c:v>2025</c:v>
                </c:pt>
                <c:pt idx="6">
                  <c:v>2030</c:v>
                </c:pt>
              </c:numCache>
            </c:numRef>
          </c:cat>
          <c:val>
            <c:numRef>
              <c:f>'Bono Demografico'!$B$20:$H$20</c:f>
              <c:numCache>
                <c:formatCode>0.00</c:formatCode>
                <c:ptCount val="7"/>
                <c:pt idx="0">
                  <c:v>0.54408002897985341</c:v>
                </c:pt>
                <c:pt idx="1">
                  <c:v>0.49131978433064349</c:v>
                </c:pt>
                <c:pt idx="2">
                  <c:v>0.44757488394323891</c:v>
                </c:pt>
                <c:pt idx="3">
                  <c:v>0.43789859253870211</c:v>
                </c:pt>
                <c:pt idx="4">
                  <c:v>0.46081931332869874</c:v>
                </c:pt>
                <c:pt idx="5">
                  <c:v>0.49774344505926382</c:v>
                </c:pt>
                <c:pt idx="6">
                  <c:v>0.53737755628114792</c:v>
                </c:pt>
              </c:numCache>
            </c:numRef>
          </c:val>
          <c:smooth val="1"/>
        </c:ser>
        <c:marker val="1"/>
        <c:axId val="75528064"/>
        <c:axId val="75529600"/>
      </c:lineChart>
      <c:catAx>
        <c:axId val="75528064"/>
        <c:scaling>
          <c:orientation val="minMax"/>
        </c:scaling>
        <c:axPos val="b"/>
        <c:numFmt formatCode="General" sourceLinked="0"/>
        <c:majorTickMark val="none"/>
        <c:tickLblPos val="nextTo"/>
        <c:crossAx val="75529600"/>
        <c:crosses val="autoZero"/>
        <c:auto val="1"/>
        <c:lblAlgn val="ctr"/>
        <c:lblOffset val="100"/>
      </c:catAx>
      <c:valAx>
        <c:axId val="75529600"/>
        <c:scaling>
          <c:orientation val="minMax"/>
          <c:min val="0.4"/>
        </c:scaling>
        <c:delete val="1"/>
        <c:axPos val="l"/>
        <c:numFmt formatCode="0.00" sourceLinked="1"/>
        <c:majorTickMark val="none"/>
        <c:tickLblPos val="none"/>
        <c:crossAx val="75528064"/>
        <c:crosses val="autoZero"/>
        <c:crossBetween val="between"/>
      </c:valAx>
    </c:plotArea>
    <c:plotVisOnly val="1"/>
    <c:dispBlanksAs val="gap"/>
  </c:chart>
  <c:spPr>
    <a:effectLst>
      <a:outerShdw blurRad="50800" dist="38100" dir="2700000" algn="tl" rotWithShape="0">
        <a:prstClr val="black">
          <a:alpha val="40000"/>
        </a:prstClr>
      </a:outerShdw>
    </a:effectLst>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a:latin typeface="Arial" pitchFamily="34" charset="0"/>
                <a:cs typeface="Arial" pitchFamily="34" charset="0"/>
              </a:defRPr>
            </a:pPr>
            <a:r>
              <a:rPr lang="es-MX" sz="1000" b="0">
                <a:latin typeface="Arial" pitchFamily="34" charset="0"/>
                <a:cs typeface="Arial" pitchFamily="34" charset="0"/>
              </a:rPr>
              <a:t>COATZACOALCOS</a:t>
            </a:r>
            <a:r>
              <a:rPr lang="es-MX" sz="1000" b="0" baseline="0">
                <a:latin typeface="Arial" pitchFamily="34" charset="0"/>
                <a:cs typeface="Arial" pitchFamily="34" charset="0"/>
              </a:rPr>
              <a:t>. SERVICIOS PÚBLICOS EN LA VIVIENDA. 2005</a:t>
            </a:r>
          </a:p>
          <a:p>
            <a:pPr>
              <a:defRPr sz="1000" b="0">
                <a:latin typeface="Arial" pitchFamily="34" charset="0"/>
                <a:cs typeface="Arial" pitchFamily="34" charset="0"/>
              </a:defRPr>
            </a:pPr>
            <a:r>
              <a:rPr lang="es-MX" sz="1000" b="0" baseline="0">
                <a:latin typeface="Arial" pitchFamily="34" charset="0"/>
                <a:cs typeface="Arial" pitchFamily="34" charset="0"/>
              </a:rPr>
              <a:t>(% del total de viviendas)</a:t>
            </a: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6.3426438930116943E-2"/>
          <c:y val="0.29181181753626573"/>
          <c:w val="0.8583401889347797"/>
          <c:h val="0.32934404903262415"/>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0" sourceLinked="0"/>
            <c:showVal val="1"/>
          </c:dLbls>
          <c:cat>
            <c:strRef>
              <c:f>'SERVICIOS PÚB. EN LA VIVIENDA'!$B$6:$F$6</c:f>
              <c:strCache>
                <c:ptCount val="5"/>
                <c:pt idx="0">
                  <c:v>Con agua entubada, drenaje y energía eléctrica</c:v>
                </c:pt>
                <c:pt idx="1">
                  <c:v>Con agua entubada</c:v>
                </c:pt>
                <c:pt idx="2">
                  <c:v>Con piso de material diferente de tierra</c:v>
                </c:pt>
                <c:pt idx="3">
                  <c:v>Con drenaje</c:v>
                </c:pt>
                <c:pt idx="4">
                  <c:v>Con energía eléctrica</c:v>
                </c:pt>
              </c:strCache>
            </c:strRef>
          </c:cat>
          <c:val>
            <c:numRef>
              <c:f>'SERVICIOS PÚB. EN LA VIVIENDA'!$B$7:$F$7</c:f>
              <c:numCache>
                <c:formatCode>General</c:formatCode>
                <c:ptCount val="5"/>
                <c:pt idx="0">
                  <c:v>89.479226249286327</c:v>
                </c:pt>
                <c:pt idx="1">
                  <c:v>93.253269282093427</c:v>
                </c:pt>
                <c:pt idx="2">
                  <c:v>96.670000666798558</c:v>
                </c:pt>
                <c:pt idx="3">
                  <c:v>99.108298960127087</c:v>
                </c:pt>
                <c:pt idx="4">
                  <c:v>96.3444438666736</c:v>
                </c:pt>
              </c:numCache>
            </c:numRef>
          </c:val>
        </c:ser>
        <c:dLbls>
          <c:showVal val="1"/>
        </c:dLbls>
        <c:shape val="cylinder"/>
        <c:axId val="75182848"/>
        <c:axId val="75184384"/>
        <c:axId val="0"/>
      </c:bar3DChart>
      <c:catAx>
        <c:axId val="75182848"/>
        <c:scaling>
          <c:orientation val="minMax"/>
        </c:scaling>
        <c:axPos val="b"/>
        <c:numFmt formatCode="General" sourceLinked="1"/>
        <c:majorTickMark val="none"/>
        <c:tickLblPos val="nextTo"/>
        <c:txPr>
          <a:bodyPr/>
          <a:lstStyle/>
          <a:p>
            <a:pPr>
              <a:defRPr sz="700"/>
            </a:pPr>
            <a:endParaRPr lang="es-MX"/>
          </a:p>
        </c:txPr>
        <c:crossAx val="75184384"/>
        <c:crosses val="autoZero"/>
        <c:auto val="1"/>
        <c:lblAlgn val="ctr"/>
        <c:lblOffset val="100"/>
      </c:catAx>
      <c:valAx>
        <c:axId val="75184384"/>
        <c:scaling>
          <c:orientation val="minMax"/>
        </c:scaling>
        <c:delete val="1"/>
        <c:axPos val="l"/>
        <c:numFmt formatCode="General" sourceLinked="1"/>
        <c:tickLblPos val="none"/>
        <c:crossAx val="75182848"/>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a:latin typeface="Arial" pitchFamily="34" charset="0"/>
                <a:cs typeface="Arial" pitchFamily="34" charset="0"/>
              </a:defRPr>
            </a:pPr>
            <a:r>
              <a:rPr lang="es-MX" sz="1000" b="0">
                <a:latin typeface="Arial" pitchFamily="34" charset="0"/>
                <a:cs typeface="Arial" pitchFamily="34" charset="0"/>
              </a:rPr>
              <a:t>COATZACOALCOS.</a:t>
            </a:r>
            <a:r>
              <a:rPr lang="es-MX" sz="1000" b="0" baseline="0">
                <a:latin typeface="Arial" pitchFamily="34" charset="0"/>
                <a:cs typeface="Arial" pitchFamily="34" charset="0"/>
              </a:rPr>
              <a:t> BIENES PRIVADOS EN LAS VIVIENDAS. 2005</a:t>
            </a:r>
          </a:p>
          <a:p>
            <a:pPr>
              <a:defRPr sz="1000" b="0">
                <a:latin typeface="Arial" pitchFamily="34" charset="0"/>
                <a:cs typeface="Arial" pitchFamily="34" charset="0"/>
              </a:defRPr>
            </a:pPr>
            <a:r>
              <a:rPr lang="es-MX" sz="1000" b="0" baseline="0">
                <a:latin typeface="Arial" pitchFamily="34" charset="0"/>
                <a:cs typeface="Arial" pitchFamily="34" charset="0"/>
              </a:rPr>
              <a:t>(% del total de viviendas)</a:t>
            </a:r>
            <a:endParaRPr lang="es-MX" sz="1000" b="0">
              <a:latin typeface="Arial" pitchFamily="34" charset="0"/>
              <a:cs typeface="Arial" pitchFamily="34" charset="0"/>
            </a:endParaRP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2.7936507936507936E-2"/>
          <c:y val="0.25151835112800358"/>
          <c:w val="0.94412698412698359"/>
          <c:h val="0.52768421719138781"/>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0" sourceLinked="0"/>
            <c:showVal val="1"/>
          </c:dLbls>
          <c:cat>
            <c:strRef>
              <c:f>'SERVICIOS PÚB. EN LA VIVIENDA'!$K$6:$O$6</c:f>
              <c:strCache>
                <c:ptCount val="5"/>
                <c:pt idx="0">
                  <c:v>Con Computadora</c:v>
                </c:pt>
                <c:pt idx="1">
                  <c:v>Con lavadora</c:v>
                </c:pt>
                <c:pt idx="2">
                  <c:v>Con refrigerador</c:v>
                </c:pt>
                <c:pt idx="3">
                  <c:v>Con televisión </c:v>
                </c:pt>
                <c:pt idx="4">
                  <c:v>Con algún bien</c:v>
                </c:pt>
              </c:strCache>
            </c:strRef>
          </c:cat>
          <c:val>
            <c:numRef>
              <c:f>'SERVICIOS PÚB. EN LA VIVIENDA'!$K$7:$O$7</c:f>
              <c:numCache>
                <c:formatCode>General</c:formatCode>
                <c:ptCount val="5"/>
                <c:pt idx="0">
                  <c:v>18.714575425095422</c:v>
                </c:pt>
                <c:pt idx="1">
                  <c:v>70.955748531017619</c:v>
                </c:pt>
                <c:pt idx="2">
                  <c:v>85.563673235921172</c:v>
                </c:pt>
                <c:pt idx="3">
                  <c:v>92.830586032967588</c:v>
                </c:pt>
                <c:pt idx="4">
                  <c:v>97.610628672455888</c:v>
                </c:pt>
              </c:numCache>
            </c:numRef>
          </c:val>
        </c:ser>
        <c:dLbls>
          <c:showVal val="1"/>
        </c:dLbls>
        <c:shape val="cylinder"/>
        <c:axId val="75208960"/>
        <c:axId val="75214848"/>
        <c:axId val="0"/>
      </c:bar3DChart>
      <c:catAx>
        <c:axId val="75208960"/>
        <c:scaling>
          <c:orientation val="minMax"/>
        </c:scaling>
        <c:axPos val="b"/>
        <c:numFmt formatCode="General" sourceLinked="1"/>
        <c:majorTickMark val="none"/>
        <c:tickLblPos val="nextTo"/>
        <c:txPr>
          <a:bodyPr/>
          <a:lstStyle/>
          <a:p>
            <a:pPr>
              <a:defRPr sz="800"/>
            </a:pPr>
            <a:endParaRPr lang="es-MX"/>
          </a:p>
        </c:txPr>
        <c:crossAx val="75214848"/>
        <c:crosses val="autoZero"/>
        <c:auto val="1"/>
        <c:lblAlgn val="ctr"/>
        <c:lblOffset val="100"/>
      </c:catAx>
      <c:valAx>
        <c:axId val="75214848"/>
        <c:scaling>
          <c:orientation val="minMax"/>
        </c:scaling>
        <c:delete val="1"/>
        <c:axPos val="l"/>
        <c:numFmt formatCode="General" sourceLinked="1"/>
        <c:tickLblPos val="none"/>
        <c:crossAx val="75208960"/>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b="0"/>
            </a:pPr>
            <a:r>
              <a:rPr lang="es-MX" sz="1200" b="0"/>
              <a:t>COATZACOALCOS.</a:t>
            </a:r>
            <a:r>
              <a:rPr lang="es-MX" sz="1200" b="0" baseline="0"/>
              <a:t> INDICADORES DE MARGINACIÓN. 2005</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48976448857895488"/>
          <c:y val="0.10103513631724742"/>
          <c:w val="0.41624011316460835"/>
          <c:h val="0.87316991411940081"/>
        </c:manualLayout>
      </c:layout>
      <c:barChart>
        <c:barDir val="bar"/>
        <c:grouping val="clustered"/>
        <c:ser>
          <c:idx val="0"/>
          <c:order val="0"/>
          <c:tx>
            <c:v>ESTADO</c:v>
          </c:tx>
          <c:spPr>
            <a:solidFill>
              <a:schemeClr val="accent2"/>
            </a:solidFill>
            <a:ln w="15875"/>
            <a:effectLst>
              <a:outerShdw blurRad="50800" dist="38100" dir="2700000" algn="tl" rotWithShape="0">
                <a:prstClr val="black">
                  <a:alpha val="40000"/>
                </a:prstClr>
              </a:outerShdw>
            </a:effectLst>
            <a:scene3d>
              <a:camera prst="orthographicFront"/>
              <a:lightRig rig="threePt" dir="t"/>
            </a:scene3d>
            <a:sp3d>
              <a:bevelT/>
            </a:sp3d>
          </c:spPr>
          <c:dLbls>
            <c:numFmt formatCode="#,##0.0" sourceLinked="0"/>
            <c:showVal val="1"/>
          </c:dLbls>
          <c:cat>
            <c:strRef>
              <c:f>'INDICADORES MARGINACIÓN 05'!$F$7:$AF$7</c:f>
              <c:strCache>
                <c:ptCount val="25"/>
                <c:pt idx="0">
                  <c:v>% Población analfabeta de 15 años o más</c:v>
                </c:pt>
                <c:pt idx="3">
                  <c:v>% Población sin primaria completa de 15 años o más</c:v>
                </c:pt>
                <c:pt idx="6">
                  <c:v>% Ocupantes en viviendas sin drenaje ni servicio sanitario</c:v>
                </c:pt>
                <c:pt idx="9">
                  <c:v>% Ocupantes en viviendas sin energía eléctrica</c:v>
                </c:pt>
                <c:pt idx="12">
                  <c:v>% Ocupantes en viviendas sin agua entubada</c:v>
                </c:pt>
                <c:pt idx="15">
                  <c:v>% Viviendas con algún nivel de hacinamiento</c:v>
                </c:pt>
                <c:pt idx="18">
                  <c:v>% Ocupantes en viviendas con piso de tierra</c:v>
                </c:pt>
                <c:pt idx="21">
                  <c:v>% Población en localidades con menos de 5 000 habitantes</c:v>
                </c:pt>
                <c:pt idx="24">
                  <c:v>% Población ocupada con ingreso de hasta 2 salarios mínimos</c:v>
                </c:pt>
              </c:strCache>
            </c:strRef>
          </c:cat>
          <c:val>
            <c:numRef>
              <c:f>'INDICADORES MARGINACIÓN 05'!$F$8:$AF$8</c:f>
              <c:numCache>
                <c:formatCode>General</c:formatCode>
                <c:ptCount val="27"/>
                <c:pt idx="0">
                  <c:v>13.421239942604204</c:v>
                </c:pt>
                <c:pt idx="3">
                  <c:v>32.902676169193796</c:v>
                </c:pt>
                <c:pt idx="6">
                  <c:v>4.1755782421073855</c:v>
                </c:pt>
                <c:pt idx="9">
                  <c:v>4.6663412963070465</c:v>
                </c:pt>
                <c:pt idx="12">
                  <c:v>23.321165109246039</c:v>
                </c:pt>
                <c:pt idx="15">
                  <c:v>45.024201653445708</c:v>
                </c:pt>
                <c:pt idx="18">
                  <c:v>22.774155559737</c:v>
                </c:pt>
                <c:pt idx="21">
                  <c:v>46.675416520515412</c:v>
                </c:pt>
                <c:pt idx="24">
                  <c:v>58.358966977305897</c:v>
                </c:pt>
              </c:numCache>
            </c:numRef>
          </c:val>
        </c:ser>
        <c:ser>
          <c:idx val="1"/>
          <c:order val="1"/>
          <c:tx>
            <c:v>COATZACOALCOS</c:v>
          </c:tx>
          <c:spPr>
            <a:solidFill>
              <a:schemeClr val="accent3"/>
            </a:solidFill>
            <a:ln w="12700"/>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5.0205473283635123E-17"/>
                  <c:y val="-1.8709873214828227E-2"/>
                </c:manualLayout>
              </c:layout>
              <c:showVal val="1"/>
            </c:dLbl>
            <c:dLbl>
              <c:idx val="3"/>
              <c:layout>
                <c:manualLayout>
                  <c:x val="0"/>
                  <c:y val="-1.8709873214828227E-2"/>
                </c:manualLayout>
              </c:layout>
              <c:showVal val="1"/>
            </c:dLbl>
            <c:dLbl>
              <c:idx val="6"/>
              <c:layout>
                <c:manualLayout>
                  <c:x val="0"/>
                  <c:y val="-1.5591561012356635E-2"/>
                </c:manualLayout>
              </c:layout>
              <c:showVal val="1"/>
            </c:dLbl>
            <c:dLbl>
              <c:idx val="9"/>
              <c:layout>
                <c:manualLayout>
                  <c:x val="-2.7385119960841092E-3"/>
                  <c:y val="-1.8709873214828227E-2"/>
                </c:manualLayout>
              </c:layout>
              <c:showVal val="1"/>
            </c:dLbl>
            <c:dLbl>
              <c:idx val="12"/>
              <c:layout>
                <c:manualLayout>
                  <c:x val="0"/>
                  <c:y val="-1.8709873214828227E-2"/>
                </c:manualLayout>
              </c:layout>
              <c:showVal val="1"/>
            </c:dLbl>
            <c:dLbl>
              <c:idx val="15"/>
              <c:layout>
                <c:manualLayout>
                  <c:x val="-2.7385119960841452E-3"/>
                  <c:y val="-9.3549366074141462E-3"/>
                </c:manualLayout>
              </c:layout>
              <c:showVal val="1"/>
            </c:dLbl>
            <c:dLbl>
              <c:idx val="18"/>
              <c:layout>
                <c:manualLayout>
                  <c:x val="-2.7385119960841452E-3"/>
                  <c:y val="-1.2473248809885099E-2"/>
                </c:manualLayout>
              </c:layout>
              <c:showVal val="1"/>
            </c:dLbl>
            <c:dLbl>
              <c:idx val="21"/>
              <c:layout>
                <c:manualLayout>
                  <c:x val="-2.7385119960841452E-3"/>
                  <c:y val="-9.3549366074141462E-3"/>
                </c:manualLayout>
              </c:layout>
              <c:showVal val="1"/>
            </c:dLbl>
            <c:dLbl>
              <c:idx val="24"/>
              <c:layout>
                <c:manualLayout>
                  <c:x val="0"/>
                  <c:y val="-6.2366244049428463E-3"/>
                </c:manualLayout>
              </c:layout>
              <c:showVal val="1"/>
            </c:dLbl>
            <c:numFmt formatCode="#,##0.0" sourceLinked="0"/>
            <c:showVal val="1"/>
          </c:dLbls>
          <c:cat>
            <c:strRef>
              <c:f>'INDICADORES MARGINACIÓN 05'!$F$7:$AF$7</c:f>
              <c:strCache>
                <c:ptCount val="25"/>
                <c:pt idx="0">
                  <c:v>% Población analfabeta de 15 años o más</c:v>
                </c:pt>
                <c:pt idx="3">
                  <c:v>% Población sin primaria completa de 15 años o más</c:v>
                </c:pt>
                <c:pt idx="6">
                  <c:v>% Ocupantes en viviendas sin drenaje ni servicio sanitario</c:v>
                </c:pt>
                <c:pt idx="9">
                  <c:v>% Ocupantes en viviendas sin energía eléctrica</c:v>
                </c:pt>
                <c:pt idx="12">
                  <c:v>% Ocupantes en viviendas sin agua entubada</c:v>
                </c:pt>
                <c:pt idx="15">
                  <c:v>% Viviendas con algún nivel de hacinamiento</c:v>
                </c:pt>
                <c:pt idx="18">
                  <c:v>% Ocupantes en viviendas con piso de tierra</c:v>
                </c:pt>
                <c:pt idx="21">
                  <c:v>% Población en localidades con menos de 5 000 habitantes</c:v>
                </c:pt>
                <c:pt idx="24">
                  <c:v>% Población ocupada con ingreso de hasta 2 salarios mínimos</c:v>
                </c:pt>
              </c:strCache>
            </c:strRef>
          </c:cat>
          <c:val>
            <c:numRef>
              <c:f>'INDICADORES MARGINACIÓN 05'!$F$9:$AF$9</c:f>
              <c:numCache>
                <c:formatCode>General</c:formatCode>
                <c:ptCount val="27"/>
                <c:pt idx="0">
                  <c:v>5.6851063829787201</c:v>
                </c:pt>
                <c:pt idx="3">
                  <c:v>18.183512071061717</c:v>
                </c:pt>
                <c:pt idx="6">
                  <c:v>0.5420014394618291</c:v>
                </c:pt>
                <c:pt idx="9">
                  <c:v>0.715910389548151</c:v>
                </c:pt>
                <c:pt idx="12">
                  <c:v>5.3980416885747999</c:v>
                </c:pt>
                <c:pt idx="15">
                  <c:v>38.015935301081413</c:v>
                </c:pt>
                <c:pt idx="18">
                  <c:v>3.4992721337508592</c:v>
                </c:pt>
                <c:pt idx="21">
                  <c:v>3.8856767833130577</c:v>
                </c:pt>
                <c:pt idx="24">
                  <c:v>46.729921031739103</c:v>
                </c:pt>
              </c:numCache>
            </c:numRef>
          </c:val>
        </c:ser>
        <c:gapWidth val="16"/>
        <c:overlap val="-23"/>
        <c:axId val="75256576"/>
        <c:axId val="75258112"/>
      </c:barChart>
      <c:catAx>
        <c:axId val="75256576"/>
        <c:scaling>
          <c:orientation val="minMax"/>
        </c:scaling>
        <c:axPos val="l"/>
        <c:numFmt formatCode="General" sourceLinked="1"/>
        <c:majorTickMark val="none"/>
        <c:tickLblPos val="nextTo"/>
        <c:txPr>
          <a:bodyPr/>
          <a:lstStyle/>
          <a:p>
            <a:pPr algn="just">
              <a:defRPr sz="700"/>
            </a:pPr>
            <a:endParaRPr lang="es-MX"/>
          </a:p>
        </c:txPr>
        <c:crossAx val="75258112"/>
        <c:crosses val="autoZero"/>
        <c:auto val="1"/>
        <c:lblAlgn val="l"/>
        <c:lblOffset val="100"/>
      </c:catAx>
      <c:valAx>
        <c:axId val="75258112"/>
        <c:scaling>
          <c:orientation val="minMax"/>
        </c:scaling>
        <c:delete val="1"/>
        <c:axPos val="b"/>
        <c:numFmt formatCode="General" sourceLinked="1"/>
        <c:tickLblPos val="none"/>
        <c:crossAx val="75256576"/>
        <c:crosses val="autoZero"/>
        <c:crossBetween val="between"/>
      </c:valAx>
    </c:plotArea>
    <c:legend>
      <c:legendPos val="r"/>
      <c:layout>
        <c:manualLayout>
          <c:xMode val="edge"/>
          <c:yMode val="edge"/>
          <c:x val="0.70404744262890151"/>
          <c:y val="0.69679127257367157"/>
          <c:w val="0.23435193760505266"/>
          <c:h val="8.3283473648838924E-2"/>
        </c:manualLayout>
      </c:layout>
    </c:legend>
    <c:plotVisOnly val="1"/>
    <c:dispBlanksAs val="gap"/>
  </c:chart>
  <c:spPr>
    <a:effectLst>
      <a:outerShdw blurRad="50800" dist="38100" dir="2700000" algn="tl" rotWithShape="0">
        <a:prstClr val="black">
          <a:alpha val="40000"/>
        </a:prstClr>
      </a:outerShdw>
    </a:effectLst>
  </c:sp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COATZACOALCOS.</a:t>
            </a:r>
            <a:r>
              <a:rPr lang="es-MX" sz="1100" b="0" baseline="0"/>
              <a:t> LOCALIDADES Y POBLACIÓN SEGÚN EL GRADO DE MARGINACIÓN</a:t>
            </a:r>
            <a:endParaRPr lang="es-MX" sz="11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3.0567442894458948E-2"/>
          <c:y val="0.21677383540732281"/>
          <c:w val="0.93886511421108265"/>
          <c:h val="0.60984009741532819"/>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'gRADO DE MARGINACIÓN'!$B$8:$B$12</c:f>
              <c:strCache>
                <c:ptCount val="5"/>
                <c:pt idx="0">
                  <c:v>Muy alto</c:v>
                </c:pt>
                <c:pt idx="1">
                  <c:v>Alto</c:v>
                </c:pt>
                <c:pt idx="2">
                  <c:v>Medio</c:v>
                </c:pt>
                <c:pt idx="3">
                  <c:v>Bajo</c:v>
                </c:pt>
                <c:pt idx="4">
                  <c:v>Muy bajo</c:v>
                </c:pt>
              </c:strCache>
            </c:strRef>
          </c:cat>
          <c:val>
            <c:numRef>
              <c:f>'gRADO DE MARGINACIÓN'!$C$8:$C$12</c:f>
              <c:numCache>
                <c:formatCode>General</c:formatCode>
                <c:ptCount val="5"/>
                <c:pt idx="0">
                  <c:v>1</c:v>
                </c:pt>
                <c:pt idx="1">
                  <c:v>14</c:v>
                </c:pt>
                <c:pt idx="2">
                  <c:v>3</c:v>
                </c:pt>
                <c:pt idx="3">
                  <c:v>3</c:v>
                </c:pt>
                <c:pt idx="4">
                  <c:v>4</c:v>
                </c:pt>
              </c:numCache>
            </c:numRef>
          </c:val>
        </c:ser>
        <c:dLbls>
          <c:showVal val="1"/>
        </c:dLbls>
        <c:shape val="box"/>
        <c:axId val="75564544"/>
        <c:axId val="75566080"/>
        <c:axId val="0"/>
      </c:bar3DChart>
      <c:catAx>
        <c:axId val="75564544"/>
        <c:scaling>
          <c:orientation val="minMax"/>
        </c:scaling>
        <c:axPos val="b"/>
        <c:numFmt formatCode="General" sourceLinked="1"/>
        <c:majorTickMark val="none"/>
        <c:tickLblPos val="nextTo"/>
        <c:crossAx val="75566080"/>
        <c:crosses val="autoZero"/>
        <c:auto val="1"/>
        <c:lblAlgn val="ctr"/>
        <c:lblOffset val="100"/>
      </c:catAx>
      <c:valAx>
        <c:axId val="75566080"/>
        <c:scaling>
          <c:orientation val="minMax"/>
        </c:scaling>
        <c:delete val="1"/>
        <c:axPos val="l"/>
        <c:numFmt formatCode="General" sourceLinked="1"/>
        <c:tickLblPos val="none"/>
        <c:crossAx val="75564544"/>
        <c:crosses val="autoZero"/>
        <c:crossBetween val="between"/>
      </c:valAx>
      <c:spPr>
        <a:noFill/>
        <a:ln w="25400">
          <a:noFill/>
        </a:ln>
      </c:spPr>
    </c:plotArea>
    <c:plotVisOnly val="1"/>
    <c:dispBlanksAs val="gap"/>
  </c:chart>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000" b="0"/>
              <a:t>COATZACOALCOS. POBLACIÓN  SEGÚN EL GRADO DE MARGINACIÓN.</a:t>
            </a:r>
            <a:r>
              <a:rPr lang="es-MX"/>
              <a:t> </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pie3DChart>
        <c:varyColors val="1"/>
        <c:ser>
          <c:idx val="0"/>
          <c:order val="0"/>
          <c:explosion val="25"/>
          <c:dLbls>
            <c:dLbl>
              <c:idx val="0"/>
              <c:delete val="1"/>
            </c:dLbl>
            <c:dLbl>
              <c:idx val="1"/>
              <c:layout>
                <c:manualLayout>
                  <c:x val="-6.5006124234470733E-2"/>
                  <c:y val="1.2356372120151414E-2"/>
                </c:manualLayout>
              </c:layout>
              <c:showCatName val="1"/>
              <c:showPercent val="1"/>
            </c:dLbl>
            <c:dLbl>
              <c:idx val="2"/>
              <c:layout>
                <c:manualLayout>
                  <c:x val="1.1925415573053381E-2"/>
                  <c:y val="1.4273840769903762E-2"/>
                </c:manualLayout>
              </c:layout>
              <c:showCatName val="1"/>
              <c:showPercent val="1"/>
            </c:dLbl>
            <c:dLbl>
              <c:idx val="3"/>
              <c:layout>
                <c:manualLayout>
                  <c:x val="4.4212817147857034E-2"/>
                  <c:y val="-2.6531058617673756E-3"/>
                </c:manualLayout>
              </c:layout>
              <c:showCatName val="1"/>
              <c:showPercent val="1"/>
            </c:dLbl>
            <c:showCatName val="1"/>
            <c:showPercent val="1"/>
            <c:showLeaderLines val="1"/>
          </c:dLbls>
          <c:cat>
            <c:strRef>
              <c:f>'gRADO DE MARGINACIÓN'!$I$2:$M$2</c:f>
              <c:strCache>
                <c:ptCount val="5"/>
                <c:pt idx="0">
                  <c:v>Muy alto</c:v>
                </c:pt>
                <c:pt idx="1">
                  <c:v>Alto</c:v>
                </c:pt>
                <c:pt idx="2">
                  <c:v>Medio</c:v>
                </c:pt>
                <c:pt idx="3">
                  <c:v>Bajo</c:v>
                </c:pt>
                <c:pt idx="4">
                  <c:v>Muy bajo</c:v>
                </c:pt>
              </c:strCache>
            </c:strRef>
          </c:cat>
          <c:val>
            <c:numRef>
              <c:f>'gRADO DE MARGINACIÓN'!$I$3:$M$3</c:f>
              <c:numCache>
                <c:formatCode>_-* #,##0_-;\-* #,##0_-;_-* "-"??_-;_-@_-</c:formatCode>
                <c:ptCount val="5"/>
                <c:pt idx="0">
                  <c:v>5</c:v>
                </c:pt>
                <c:pt idx="1">
                  <c:v>3249</c:v>
                </c:pt>
                <c:pt idx="2">
                  <c:v>8824</c:v>
                </c:pt>
                <c:pt idx="3">
                  <c:v>27578</c:v>
                </c:pt>
                <c:pt idx="4" formatCode="General">
                  <c:v>239394</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a:t>
            </a:r>
            <a:r>
              <a:rPr lang="es-MX" sz="1200" baseline="0"/>
              <a:t> Dimensión socio-demográfica. </a:t>
            </a:r>
          </a:p>
          <a:p>
            <a:pPr>
              <a:defRPr sz="1200"/>
            </a:pPr>
            <a:r>
              <a:rPr lang="es-MX" sz="1200" baseline="0"/>
              <a:t>(2000-2005)</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0555555555555582E-2"/>
          <c:y val="0.21010608048993928"/>
          <c:w val="0.93888888888889066"/>
          <c:h val="0.47000583260425782"/>
        </c:manualLayout>
      </c:layout>
      <c:bar3DChart>
        <c:barDir val="col"/>
        <c:grouping val="clustered"/>
        <c:ser>
          <c:idx val="0"/>
          <c:order val="0"/>
          <c:tx>
            <c:strRef>
              <c:f>'INDICADORES MARGINACIÓN 05'!$A$14</c:f>
              <c:strCache>
                <c:ptCount val="1"/>
                <c:pt idx="0">
                  <c:v>2000</c:v>
                </c:pt>
              </c:strCache>
            </c:strRef>
          </c:tx>
          <c:spPr>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1111111111111125E-2"/>
                  <c:y val="0"/>
                </c:manualLayout>
              </c:layout>
              <c:showVal val="1"/>
            </c:dLbl>
            <c:dLbl>
              <c:idx val="1"/>
              <c:layout>
                <c:manualLayout>
                  <c:x val="8.3333333333333367E-3"/>
                  <c:y val="0"/>
                </c:manualLayout>
              </c:layout>
              <c:showVal val="1"/>
            </c:dLbl>
            <c:dLbl>
              <c:idx val="2"/>
              <c:layout>
                <c:manualLayout>
                  <c:x val="8.3333333333333367E-3"/>
                  <c:y val="0"/>
                </c:manualLayout>
              </c:layout>
              <c:showVal val="1"/>
            </c:dLbl>
            <c:dLbl>
              <c:idx val="3"/>
              <c:layout>
                <c:manualLayout>
                  <c:x val="1.6666666666666701E-2"/>
                  <c:y val="0"/>
                </c:manualLayout>
              </c:layout>
              <c:showVal val="1"/>
            </c:dLbl>
            <c:numFmt formatCode="#,##0.0" sourceLinked="0"/>
            <c:showVal val="1"/>
          </c:dLbls>
          <c:cat>
            <c:strRef>
              <c:f>'INDICADORES MARGINACIÓN 05'!$B$13:$E$13</c:f>
              <c:strCache>
                <c:ptCount val="4"/>
                <c:pt idx="0">
                  <c:v>Educación</c:v>
                </c:pt>
                <c:pt idx="1">
                  <c:v>Residencias en viviendas inadecuadas</c:v>
                </c:pt>
                <c:pt idx="2">
                  <c:v>Percepción de ingresos monetarios insuficientes</c:v>
                </c:pt>
                <c:pt idx="3">
                  <c:v>Residencia en localidades pequeñas</c:v>
                </c:pt>
              </c:strCache>
            </c:strRef>
          </c:cat>
          <c:val>
            <c:numRef>
              <c:f>'INDICADORES MARGINACIÓN 05'!$B$14:$E$14</c:f>
              <c:numCache>
                <c:formatCode>General</c:formatCode>
                <c:ptCount val="4"/>
                <c:pt idx="0">
                  <c:v>29.02</c:v>
                </c:pt>
                <c:pt idx="1">
                  <c:v>62.94</c:v>
                </c:pt>
                <c:pt idx="2">
                  <c:v>55.339999999999996</c:v>
                </c:pt>
                <c:pt idx="3">
                  <c:v>4.1899999999999995</c:v>
                </c:pt>
              </c:numCache>
            </c:numRef>
          </c:val>
        </c:ser>
        <c:ser>
          <c:idx val="1"/>
          <c:order val="1"/>
          <c:tx>
            <c:strRef>
              <c:f>'INDICADORES MARGINACIÓN 05'!$A$15</c:f>
              <c:strCache>
                <c:ptCount val="1"/>
                <c:pt idx="0">
                  <c:v>2005</c:v>
                </c:pt>
              </c:strCache>
            </c:strRef>
          </c:tx>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6666666666666701E-2"/>
                  <c:y val="0"/>
                </c:manualLayout>
              </c:layout>
              <c:showVal val="1"/>
            </c:dLbl>
            <c:dLbl>
              <c:idx val="1"/>
              <c:layout>
                <c:manualLayout>
                  <c:x val="1.6666666666666701E-2"/>
                  <c:y val="0"/>
                </c:manualLayout>
              </c:layout>
              <c:showVal val="1"/>
            </c:dLbl>
            <c:dLbl>
              <c:idx val="2"/>
              <c:layout>
                <c:manualLayout>
                  <c:x val="1.3888888888888938E-2"/>
                  <c:y val="0"/>
                </c:manualLayout>
              </c:layout>
              <c:showVal val="1"/>
            </c:dLbl>
            <c:dLbl>
              <c:idx val="3"/>
              <c:layout>
                <c:manualLayout>
                  <c:x val="1.6666666666666701E-2"/>
                  <c:y val="0"/>
                </c:manualLayout>
              </c:layout>
              <c:showVal val="1"/>
            </c:dLbl>
            <c:numFmt formatCode="#,##0.0" sourceLinked="0"/>
            <c:showVal val="1"/>
          </c:dLbls>
          <c:cat>
            <c:strRef>
              <c:f>'INDICADORES MARGINACIÓN 05'!$B$13:$E$13</c:f>
              <c:strCache>
                <c:ptCount val="4"/>
                <c:pt idx="0">
                  <c:v>Educación</c:v>
                </c:pt>
                <c:pt idx="1">
                  <c:v>Residencias en viviendas inadecuadas</c:v>
                </c:pt>
                <c:pt idx="2">
                  <c:v>Percepción de ingresos monetarios insuficientes</c:v>
                </c:pt>
                <c:pt idx="3">
                  <c:v>Residencia en localidades pequeñas</c:v>
                </c:pt>
              </c:strCache>
            </c:strRef>
          </c:cat>
          <c:val>
            <c:numRef>
              <c:f>'INDICADORES MARGINACIÓN 05'!$B$15:$E$15</c:f>
              <c:numCache>
                <c:formatCode>General</c:formatCode>
                <c:ptCount val="4"/>
                <c:pt idx="0">
                  <c:v>23.86</c:v>
                </c:pt>
                <c:pt idx="1">
                  <c:v>48.14</c:v>
                </c:pt>
                <c:pt idx="2">
                  <c:v>46.720000000000013</c:v>
                </c:pt>
                <c:pt idx="3">
                  <c:v>3.88</c:v>
                </c:pt>
              </c:numCache>
            </c:numRef>
          </c:val>
        </c:ser>
        <c:dLbls>
          <c:showVal val="1"/>
        </c:dLbls>
        <c:shape val="box"/>
        <c:axId val="75626752"/>
        <c:axId val="75644928"/>
        <c:axId val="0"/>
      </c:bar3DChart>
      <c:catAx>
        <c:axId val="75626752"/>
        <c:scaling>
          <c:orientation val="minMax"/>
        </c:scaling>
        <c:axPos val="b"/>
        <c:majorTickMark val="none"/>
        <c:tickLblPos val="nextTo"/>
        <c:crossAx val="75644928"/>
        <c:crosses val="autoZero"/>
        <c:auto val="1"/>
        <c:lblAlgn val="ctr"/>
        <c:lblOffset val="100"/>
      </c:catAx>
      <c:valAx>
        <c:axId val="75644928"/>
        <c:scaling>
          <c:orientation val="minMax"/>
        </c:scaling>
        <c:delete val="1"/>
        <c:axPos val="l"/>
        <c:numFmt formatCode="General" sourceLinked="1"/>
        <c:tickLblPos val="none"/>
        <c:crossAx val="75626752"/>
        <c:crosses val="autoZero"/>
        <c:crossBetween val="between"/>
      </c:valAx>
    </c:plotArea>
    <c:legend>
      <c:legendPos val="t"/>
      <c:layout>
        <c:manualLayout>
          <c:xMode val="edge"/>
          <c:yMode val="edge"/>
          <c:x val="0.73745166229221371"/>
          <c:y val="0.24675925925925926"/>
          <c:w val="0.12231867891513559"/>
          <c:h val="0.13464311752697591"/>
        </c:manualLayout>
      </c:layout>
    </c:legend>
    <c:plotVisOnly val="1"/>
  </c:chart>
  <c:spPr>
    <a:effectLst>
      <a:outerShdw blurRad="50800" dist="38100" dir="2700000" algn="tl" rotWithShape="0">
        <a:prstClr val="black">
          <a:alpha val="40000"/>
        </a:prstClr>
      </a:outerShdw>
    </a:effectLst>
  </c:sp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100"/>
            </a:pPr>
            <a:r>
              <a:rPr lang="es-MX" sz="1100"/>
              <a:t>Coatzacoalcos.</a:t>
            </a:r>
            <a:r>
              <a:rPr lang="es-MX" sz="1100" baseline="0"/>
              <a:t> Indicadores de pobreza por ingresos. 2008</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bar3DChart>
        <c:barDir val="col"/>
        <c:grouping val="clustered"/>
        <c:ser>
          <c:idx val="0"/>
          <c:order val="0"/>
          <c:tx>
            <c:v>Coatzacoalcos</c:v>
          </c:tx>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1111111111111125E-2"/>
                  <c:y val="-9.2592592592594652E-3"/>
                </c:manualLayout>
              </c:layout>
              <c:spPr/>
              <c:txPr>
                <a:bodyPr/>
                <a:lstStyle/>
                <a:p>
                  <a:pPr>
                    <a:defRPr/>
                  </a:pPr>
                  <a:endParaRPr lang="es-MX"/>
                </a:p>
              </c:txPr>
              <c:showVal val="1"/>
            </c:dLbl>
            <c:dLbl>
              <c:idx val="1"/>
              <c:layout>
                <c:manualLayout>
                  <c:x val="1.3888888888889103E-2"/>
                  <c:y val="-9.2592592592594652E-3"/>
                </c:manualLayout>
              </c:layout>
              <c:spPr/>
              <c:txPr>
                <a:bodyPr/>
                <a:lstStyle/>
                <a:p>
                  <a:pPr>
                    <a:defRPr/>
                  </a:pPr>
                  <a:endParaRPr lang="es-MX"/>
                </a:p>
              </c:txPr>
              <c:showVal val="1"/>
            </c:dLbl>
            <c:dLbl>
              <c:idx val="2"/>
              <c:layout>
                <c:manualLayout>
                  <c:x val="1.3888888888889103E-2"/>
                  <c:y val="-9.2592592592594652E-3"/>
                </c:manualLayout>
              </c:layout>
              <c:spPr/>
              <c:txPr>
                <a:bodyPr/>
                <a:lstStyle/>
                <a:p>
                  <a:pPr>
                    <a:defRPr/>
                  </a:pPr>
                  <a:endParaRPr lang="es-MX"/>
                </a:p>
              </c:txPr>
              <c:showVal val="1"/>
            </c:dLbl>
            <c:showVal val="1"/>
          </c:dLbls>
          <c:cat>
            <c:strRef>
              <c:f>Hoja1!$C$2:$E$2</c:f>
              <c:strCache>
                <c:ptCount val="3"/>
                <c:pt idx="0">
                  <c:v>Pobreza de patrimonio</c:v>
                </c:pt>
                <c:pt idx="1">
                  <c:v>Pobreza de capacidades</c:v>
                </c:pt>
                <c:pt idx="2">
                  <c:v>Pobreza alimentaria</c:v>
                </c:pt>
              </c:strCache>
            </c:strRef>
          </c:cat>
          <c:val>
            <c:numRef>
              <c:f>Hoja1!$C$3:$E$3</c:f>
              <c:numCache>
                <c:formatCode>0.0</c:formatCode>
                <c:ptCount val="3"/>
                <c:pt idx="0">
                  <c:v>44.839540123939514</c:v>
                </c:pt>
                <c:pt idx="1">
                  <c:v>17.430348694324486</c:v>
                </c:pt>
                <c:pt idx="2">
                  <c:v>9.9086038768291527</c:v>
                </c:pt>
              </c:numCache>
            </c:numRef>
          </c:val>
        </c:ser>
        <c:ser>
          <c:idx val="1"/>
          <c:order val="1"/>
          <c:tx>
            <c:strRef>
              <c:f>Hoja1!$A$4</c:f>
              <c:strCache>
                <c:ptCount val="1"/>
                <c:pt idx="0">
                  <c:v>Estado</c:v>
                </c:pt>
              </c:strCache>
            </c:strRef>
          </c:tx>
          <c:spPr>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6666666666666701E-2"/>
                  <c:y val="-4.6296296296297014E-3"/>
                </c:manualLayout>
              </c:layout>
              <c:showVal val="1"/>
            </c:dLbl>
            <c:dLbl>
              <c:idx val="1"/>
              <c:layout>
                <c:manualLayout>
                  <c:x val="2.5000000000000001E-2"/>
                  <c:y val="-4.6296296296297014E-3"/>
                </c:manualLayout>
              </c:layout>
              <c:showVal val="1"/>
            </c:dLbl>
            <c:dLbl>
              <c:idx val="2"/>
              <c:layout>
                <c:manualLayout>
                  <c:x val="1.6666666666666701E-2"/>
                  <c:y val="-9.2592592592594739E-3"/>
                </c:manualLayout>
              </c:layout>
              <c:showVal val="1"/>
            </c:dLbl>
            <c:showVal val="1"/>
          </c:dLbls>
          <c:val>
            <c:numRef>
              <c:f>Hoja1!$C$4:$E$4</c:f>
              <c:numCache>
                <c:formatCode>General</c:formatCode>
                <c:ptCount val="3"/>
                <c:pt idx="0">
                  <c:v>59.3</c:v>
                </c:pt>
                <c:pt idx="1">
                  <c:v>36.300000000000004</c:v>
                </c:pt>
                <c:pt idx="2">
                  <c:v>28</c:v>
                </c:pt>
              </c:numCache>
            </c:numRef>
          </c:val>
        </c:ser>
        <c:dLbls>
          <c:showVal val="1"/>
        </c:dLbls>
        <c:shape val="box"/>
        <c:axId val="90423296"/>
        <c:axId val="90424832"/>
        <c:axId val="0"/>
      </c:bar3DChart>
      <c:catAx>
        <c:axId val="90423296"/>
        <c:scaling>
          <c:orientation val="minMax"/>
        </c:scaling>
        <c:axPos val="b"/>
        <c:numFmt formatCode="General" sourceLinked="1"/>
        <c:majorTickMark val="none"/>
        <c:tickLblPos val="nextTo"/>
        <c:txPr>
          <a:bodyPr/>
          <a:lstStyle/>
          <a:p>
            <a:pPr>
              <a:defRPr sz="800"/>
            </a:pPr>
            <a:endParaRPr lang="es-MX"/>
          </a:p>
        </c:txPr>
        <c:crossAx val="90424832"/>
        <c:crosses val="autoZero"/>
        <c:auto val="1"/>
        <c:lblAlgn val="ctr"/>
        <c:lblOffset val="100"/>
      </c:catAx>
      <c:valAx>
        <c:axId val="90424832"/>
        <c:scaling>
          <c:orientation val="minMax"/>
        </c:scaling>
        <c:delete val="1"/>
        <c:axPos val="l"/>
        <c:numFmt formatCode="0.0" sourceLinked="1"/>
        <c:tickLblPos val="none"/>
        <c:crossAx val="90423296"/>
        <c:crosses val="autoZero"/>
        <c:crossBetween val="between"/>
      </c:valAx>
      <c:spPr>
        <a:noFill/>
        <a:ln w="25400">
          <a:noFill/>
        </a:ln>
      </c:spPr>
    </c:plotArea>
    <c:legend>
      <c:legendPos val="t"/>
      <c:layout>
        <c:manualLayout>
          <c:xMode val="edge"/>
          <c:yMode val="edge"/>
          <c:x val="0.60512664041994768"/>
          <c:y val="0.28787037037037688"/>
          <c:w val="0.24808005249344034"/>
          <c:h val="0.13927274715660543"/>
        </c:manualLayout>
      </c:layout>
    </c:legend>
    <c:plotVisOnly val="1"/>
    <c:dispBlanksAs val="gap"/>
  </c:chart>
  <c:spPr>
    <a:effectLst>
      <a:outerShdw blurRad="50800" dist="38100" dir="2700000" algn="tl" rotWithShape="0">
        <a:prstClr val="black">
          <a:alpha val="40000"/>
        </a:prstClr>
      </a:outerShdw>
    </a:effectLst>
  </c:sp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200" b="0"/>
              <a:t>COATZACOALCOS.</a:t>
            </a:r>
            <a:r>
              <a:rPr lang="es-MX" sz="1200" b="0" baseline="0"/>
              <a:t> MUNICIPIOS CON MAYOR GRADO PROMEDIO DE ESCOLARIDAD</a:t>
            </a:r>
            <a:endParaRPr lang="es-MX" sz="12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5066274066005182"/>
          <c:y val="0.23582945971772781"/>
          <c:w val="0.61729886573995818"/>
          <c:h val="0.67328291889004854"/>
        </c:manualLayout>
      </c:layout>
      <c:bar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3"/>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txPr>
              <a:bodyPr/>
              <a:lstStyle/>
              <a:p>
                <a:pPr>
                  <a:defRPr sz="900"/>
                </a:pPr>
                <a:endParaRPr lang="es-MX"/>
              </a:p>
            </c:txPr>
            <c:showVal val="1"/>
          </c:dLbls>
          <c:cat>
            <c:strRef>
              <c:f>'Municipios con un prom. de esco'!$G$4:$G$13</c:f>
              <c:strCache>
                <c:ptCount val="10"/>
                <c:pt idx="0">
                  <c:v>Camerino Z. Mendoza</c:v>
                </c:pt>
                <c:pt idx="1">
                  <c:v>Córdoba</c:v>
                </c:pt>
                <c:pt idx="2">
                  <c:v>Nanchital </c:v>
                </c:pt>
                <c:pt idx="3">
                  <c:v>Coatzacoalcos</c:v>
                </c:pt>
                <c:pt idx="4">
                  <c:v>Río Blanco</c:v>
                </c:pt>
                <c:pt idx="5">
                  <c:v>Veracruz</c:v>
                </c:pt>
                <c:pt idx="6">
                  <c:v>Poza Rica</c:v>
                </c:pt>
                <c:pt idx="7">
                  <c:v>Boca del Río</c:v>
                </c:pt>
                <c:pt idx="8">
                  <c:v>Orizaba</c:v>
                </c:pt>
                <c:pt idx="9">
                  <c:v>Xalapa</c:v>
                </c:pt>
              </c:strCache>
            </c:strRef>
          </c:cat>
          <c:val>
            <c:numRef>
              <c:f>'Municipios con un prom. de esco'!$H$4:$H$13</c:f>
              <c:numCache>
                <c:formatCode>General</c:formatCode>
                <c:ptCount val="10"/>
                <c:pt idx="0">
                  <c:v>8.5400000000000009</c:v>
                </c:pt>
                <c:pt idx="1">
                  <c:v>8.5500000000000007</c:v>
                </c:pt>
                <c:pt idx="2">
                  <c:v>8.8000000000000007</c:v>
                </c:pt>
                <c:pt idx="3">
                  <c:v>8.9500000000000028</c:v>
                </c:pt>
                <c:pt idx="4">
                  <c:v>9.33</c:v>
                </c:pt>
                <c:pt idx="5">
                  <c:v>9.3800000000000008</c:v>
                </c:pt>
                <c:pt idx="6">
                  <c:v>9.43</c:v>
                </c:pt>
                <c:pt idx="7">
                  <c:v>9.75</c:v>
                </c:pt>
                <c:pt idx="8">
                  <c:v>9.8600000000000048</c:v>
                </c:pt>
                <c:pt idx="9">
                  <c:v>9.89</c:v>
                </c:pt>
              </c:numCache>
            </c:numRef>
          </c:val>
        </c:ser>
        <c:dLbls>
          <c:showVal val="1"/>
        </c:dLbls>
        <c:overlap val="-25"/>
        <c:axId val="75982720"/>
        <c:axId val="75984256"/>
      </c:barChart>
      <c:catAx>
        <c:axId val="75982720"/>
        <c:scaling>
          <c:orientation val="minMax"/>
        </c:scaling>
        <c:axPos val="l"/>
        <c:majorTickMark val="none"/>
        <c:tickLblPos val="nextTo"/>
        <c:crossAx val="75984256"/>
        <c:crosses val="autoZero"/>
        <c:auto val="1"/>
        <c:lblAlgn val="ctr"/>
        <c:lblOffset val="100"/>
      </c:catAx>
      <c:valAx>
        <c:axId val="75984256"/>
        <c:scaling>
          <c:orientation val="minMax"/>
        </c:scaling>
        <c:delete val="1"/>
        <c:axPos val="b"/>
        <c:numFmt formatCode="General" sourceLinked="1"/>
        <c:tickLblPos val="none"/>
        <c:crossAx val="75982720"/>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a:latin typeface="Arial" pitchFamily="34" charset="0"/>
                <a:cs typeface="Arial" pitchFamily="34" charset="0"/>
              </a:defRPr>
            </a:pPr>
            <a:r>
              <a:rPr lang="es-MX" sz="1000" b="0">
                <a:latin typeface="Arial" pitchFamily="34" charset="0"/>
                <a:cs typeface="Arial" pitchFamily="34" charset="0"/>
              </a:rPr>
              <a:t>COATZACOALCOS.</a:t>
            </a:r>
            <a:r>
              <a:rPr lang="es-MX" sz="1000" b="0" baseline="0">
                <a:latin typeface="Arial" pitchFamily="34" charset="0"/>
                <a:cs typeface="Arial" pitchFamily="34" charset="0"/>
              </a:rPr>
              <a:t> INDICADORES DE EDUCACIÓN POR SEXO. 2005</a:t>
            </a:r>
            <a:endParaRPr lang="es-MX" sz="1000" b="0">
              <a:latin typeface="Arial" pitchFamily="34" charset="0"/>
              <a:cs typeface="Arial" pitchFamily="34" charset="0"/>
            </a:endParaRP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2.4882374230908434E-2"/>
          <c:y val="0.25108602514265177"/>
          <c:w val="0.95023525153820065"/>
          <c:h val="0.34099571067642825"/>
        </c:manualLayout>
      </c:layout>
      <c:bar3DChart>
        <c:barDir val="col"/>
        <c:grouping val="clustered"/>
        <c:ser>
          <c:idx val="0"/>
          <c:order val="0"/>
          <c:tx>
            <c:v>HOMBRES</c:v>
          </c:tx>
          <c:spPr>
            <a:effectLst>
              <a:outerShdw blurRad="50800" dist="38100" dir="2700000" algn="tl" rotWithShape="0">
                <a:prstClr val="black">
                  <a:alpha val="40000"/>
                </a:prstClr>
              </a:outerShdw>
            </a:effectLst>
            <a:scene3d>
              <a:camera prst="orthographicFront"/>
              <a:lightRig rig="threePt" dir="t"/>
            </a:scene3d>
            <a:sp3d>
              <a:bevelT/>
            </a:sp3d>
          </c:spPr>
          <c:dLbls>
            <c:txPr>
              <a:bodyPr/>
              <a:lstStyle/>
              <a:p>
                <a:pPr>
                  <a:defRPr sz="800"/>
                </a:pPr>
                <a:endParaRPr lang="es-MX"/>
              </a:p>
            </c:txPr>
            <c:showVal val="1"/>
          </c:dLbls>
          <c:cat>
            <c:strRef>
              <c:f>'EDUCACIÓN POR SEXO 2005'!$A$5:$A$11</c:f>
              <c:strCache>
                <c:ptCount val="7"/>
                <c:pt idx="0">
                  <c:v>5 años que no asiste a la escuela</c:v>
                </c:pt>
                <c:pt idx="1">
                  <c:v> 6 a 14 años que no asiste a la escuela</c:v>
                </c:pt>
                <c:pt idx="2">
                  <c:v>15 a 24 años que asiste a la escuela</c:v>
                </c:pt>
                <c:pt idx="3">
                  <c:v>15 años y más sin escolaridad</c:v>
                </c:pt>
                <c:pt idx="4">
                  <c:v>15 años y más con educación básica incompleta</c:v>
                </c:pt>
                <c:pt idx="5">
                  <c:v>15 años y más con educación básica completa</c:v>
                </c:pt>
                <c:pt idx="6">
                  <c:v>15 años y más con educación posbásica</c:v>
                </c:pt>
              </c:strCache>
            </c:strRef>
          </c:cat>
          <c:val>
            <c:numRef>
              <c:f>'EDUCACIÓN POR SEXO 2005'!$B$5:$B$11</c:f>
              <c:numCache>
                <c:formatCode>0.0</c:formatCode>
                <c:ptCount val="7"/>
                <c:pt idx="0">
                  <c:v>43.402777777777779</c:v>
                </c:pt>
                <c:pt idx="1">
                  <c:v>51.442307692307644</c:v>
                </c:pt>
                <c:pt idx="2">
                  <c:v>50.450956026776772</c:v>
                </c:pt>
                <c:pt idx="3">
                  <c:v>31.251421208216495</c:v>
                </c:pt>
                <c:pt idx="4">
                  <c:v>44.059544986424491</c:v>
                </c:pt>
                <c:pt idx="5">
                  <c:v>48.657857965826636</c:v>
                </c:pt>
                <c:pt idx="6">
                  <c:v>51.114946239229205</c:v>
                </c:pt>
              </c:numCache>
            </c:numRef>
          </c:val>
        </c:ser>
        <c:ser>
          <c:idx val="1"/>
          <c:order val="1"/>
          <c:tx>
            <c:v>MUJERES</c:v>
          </c:tx>
          <c:spPr>
            <a:solidFill>
              <a:srgbClr val="CC3399"/>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199400488637648E-2"/>
                  <c:y val="7.9840319361277803E-3"/>
                </c:manualLayout>
              </c:layout>
              <c:showVal val="1"/>
            </c:dLbl>
            <c:dLbl>
              <c:idx val="1"/>
              <c:layout>
                <c:manualLayout>
                  <c:x val="2.1989008958356881E-2"/>
                  <c:y val="0"/>
                </c:manualLayout>
              </c:layout>
              <c:showVal val="1"/>
            </c:dLbl>
            <c:dLbl>
              <c:idx val="2"/>
              <c:layout>
                <c:manualLayout>
                  <c:x val="1.599200651516864E-2"/>
                  <c:y val="-3.9920159680638719E-3"/>
                </c:manualLayout>
              </c:layout>
              <c:showVal val="1"/>
            </c:dLbl>
            <c:dLbl>
              <c:idx val="3"/>
              <c:layout>
                <c:manualLayout>
                  <c:x val="5.9970024431882504E-3"/>
                  <c:y val="0"/>
                </c:manualLayout>
              </c:layout>
              <c:showVal val="1"/>
            </c:dLbl>
            <c:dLbl>
              <c:idx val="4"/>
              <c:layout>
                <c:manualLayout>
                  <c:x val="1.3993005700772661E-2"/>
                  <c:y val="0"/>
                </c:manualLayout>
              </c:layout>
              <c:showVal val="1"/>
            </c:dLbl>
            <c:dLbl>
              <c:idx val="5"/>
              <c:layout>
                <c:manualLayout>
                  <c:x val="1.199400488637648E-2"/>
                  <c:y val="-3.6593056981138404E-17"/>
                </c:manualLayout>
              </c:layout>
              <c:showVal val="1"/>
            </c:dLbl>
            <c:dLbl>
              <c:idx val="6"/>
              <c:layout>
                <c:manualLayout>
                  <c:x val="1.599200651516864E-2"/>
                  <c:y val="0"/>
                </c:manualLayout>
              </c:layout>
              <c:showVal val="1"/>
            </c:dLbl>
            <c:txPr>
              <a:bodyPr/>
              <a:lstStyle/>
              <a:p>
                <a:pPr>
                  <a:defRPr sz="800"/>
                </a:pPr>
                <a:endParaRPr lang="es-MX"/>
              </a:p>
            </c:txPr>
            <c:showVal val="1"/>
          </c:dLbls>
          <c:cat>
            <c:strRef>
              <c:f>'EDUCACIÓN POR SEXO 2005'!$A$5:$A$11</c:f>
              <c:strCache>
                <c:ptCount val="7"/>
                <c:pt idx="0">
                  <c:v>5 años que no asiste a la escuela</c:v>
                </c:pt>
                <c:pt idx="1">
                  <c:v> 6 a 14 años que no asiste a la escuela</c:v>
                </c:pt>
                <c:pt idx="2">
                  <c:v>15 a 24 años que asiste a la escuela</c:v>
                </c:pt>
                <c:pt idx="3">
                  <c:v>15 años y más sin escolaridad</c:v>
                </c:pt>
                <c:pt idx="4">
                  <c:v>15 años y más con educación básica incompleta</c:v>
                </c:pt>
                <c:pt idx="5">
                  <c:v>15 años y más con educación básica completa</c:v>
                </c:pt>
                <c:pt idx="6">
                  <c:v>15 años y más con educación posbásica</c:v>
                </c:pt>
              </c:strCache>
            </c:strRef>
          </c:cat>
          <c:val>
            <c:numRef>
              <c:f>'EDUCACIÓN POR SEXO 2005'!$C$5:$C$11</c:f>
              <c:numCache>
                <c:formatCode>0.0</c:formatCode>
                <c:ptCount val="7"/>
                <c:pt idx="0">
                  <c:v>56.597222222222221</c:v>
                </c:pt>
                <c:pt idx="1">
                  <c:v>48.557692307691994</c:v>
                </c:pt>
                <c:pt idx="2">
                  <c:v>49.549043973222894</c:v>
                </c:pt>
                <c:pt idx="3">
                  <c:v>68.748578791783459</c:v>
                </c:pt>
                <c:pt idx="4">
                  <c:v>55.940455013575509</c:v>
                </c:pt>
                <c:pt idx="5">
                  <c:v>51.342142034172532</c:v>
                </c:pt>
                <c:pt idx="6">
                  <c:v>48.885053760770781</c:v>
                </c:pt>
              </c:numCache>
            </c:numRef>
          </c:val>
        </c:ser>
        <c:dLbls>
          <c:showVal val="1"/>
        </c:dLbls>
        <c:shape val="box"/>
        <c:axId val="75715328"/>
        <c:axId val="75716864"/>
        <c:axId val="0"/>
      </c:bar3DChart>
      <c:catAx>
        <c:axId val="75715328"/>
        <c:scaling>
          <c:orientation val="minMax"/>
        </c:scaling>
        <c:axPos val="b"/>
        <c:numFmt formatCode="General" sourceLinked="1"/>
        <c:majorTickMark val="none"/>
        <c:tickLblPos val="nextTo"/>
        <c:txPr>
          <a:bodyPr/>
          <a:lstStyle/>
          <a:p>
            <a:pPr>
              <a:defRPr sz="800"/>
            </a:pPr>
            <a:endParaRPr lang="es-MX"/>
          </a:p>
        </c:txPr>
        <c:crossAx val="75716864"/>
        <c:crosses val="autoZero"/>
        <c:auto val="1"/>
        <c:lblAlgn val="ctr"/>
        <c:lblOffset val="100"/>
      </c:catAx>
      <c:valAx>
        <c:axId val="75716864"/>
        <c:scaling>
          <c:orientation val="minMax"/>
        </c:scaling>
        <c:delete val="1"/>
        <c:axPos val="l"/>
        <c:numFmt formatCode="0.0" sourceLinked="1"/>
        <c:tickLblPos val="none"/>
        <c:crossAx val="75715328"/>
        <c:crosses val="autoZero"/>
        <c:crossBetween val="between"/>
      </c:valAx>
      <c:spPr>
        <a:noFill/>
        <a:ln w="25400">
          <a:noFill/>
        </a:ln>
      </c:spPr>
    </c:plotArea>
    <c:legend>
      <c:legendPos val="t"/>
      <c:layout>
        <c:manualLayout>
          <c:xMode val="edge"/>
          <c:yMode val="edge"/>
          <c:x val="0.38117070030725142"/>
          <c:y val="0.22755699304765659"/>
          <c:w val="0.27247967202947876"/>
          <c:h val="6.8301756398097296E-2"/>
        </c:manualLayout>
      </c:layout>
    </c:legend>
    <c:plotVisOnly val="1"/>
    <c:dispBlanksAs val="gap"/>
  </c:chart>
  <c:spPr>
    <a:effectLst>
      <a:outerShdw blurRad="50800" dist="38100" dir="2700000" algn="tl" rotWithShape="0">
        <a:prstClr val="black">
          <a:alpha val="40000"/>
        </a:prstClr>
      </a:outerShdw>
    </a:effectLst>
  </c:sp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latin typeface="Arial" pitchFamily="34" charset="0"/>
                <a:cs typeface="Arial" pitchFamily="34" charset="0"/>
              </a:defRPr>
            </a:pPr>
            <a:r>
              <a:rPr lang="es-MX" sz="1000">
                <a:latin typeface="Arial" pitchFamily="34" charset="0"/>
                <a:cs typeface="Arial" pitchFamily="34" charset="0"/>
              </a:rPr>
              <a:t>COATZACOALCOS.</a:t>
            </a:r>
            <a:r>
              <a:rPr lang="es-MX" sz="1000" baseline="0">
                <a:latin typeface="Arial" pitchFamily="34" charset="0"/>
                <a:cs typeface="Arial" pitchFamily="34" charset="0"/>
              </a:rPr>
              <a:t> ÍNDICE DE DESARROLLO HUMANO</a:t>
            </a:r>
            <a:endParaRPr lang="es-MX" sz="1000">
              <a:latin typeface="Arial" pitchFamily="34" charset="0"/>
              <a:cs typeface="Arial" pitchFamily="34" charset="0"/>
            </a:endParaRP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3.0567442894458948E-2"/>
          <c:y val="0.14571864736087606"/>
          <c:w val="0.93886511421108265"/>
          <c:h val="0.56797489872910256"/>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000" sourceLinked="0"/>
            <c:txPr>
              <a:bodyPr/>
              <a:lstStyle/>
              <a:p>
                <a:pPr>
                  <a:defRPr sz="900"/>
                </a:pPr>
                <a:endParaRPr lang="es-MX"/>
              </a:p>
            </c:txPr>
            <c:showVal val="1"/>
          </c:dLbls>
          <c:cat>
            <c:strRef>
              <c:f>'INDICADORES DE DESARROLLO HUMAN'!$A$3:$B$6</c:f>
              <c:strCache>
                <c:ptCount val="4"/>
                <c:pt idx="0">
                  <c:v>Índice de desarrollo humano</c:v>
                </c:pt>
                <c:pt idx="1">
                  <c:v>Índice de educación</c:v>
                </c:pt>
                <c:pt idx="2">
                  <c:v>Índice de salud</c:v>
                </c:pt>
                <c:pt idx="3">
                  <c:v>Índice de ingreso</c:v>
                </c:pt>
              </c:strCache>
            </c:strRef>
          </c:cat>
          <c:val>
            <c:numRef>
              <c:f>'INDICADORES DE DESARROLLO HUMAN'!$C$3:$C$6</c:f>
              <c:numCache>
                <c:formatCode>General</c:formatCode>
                <c:ptCount val="4"/>
                <c:pt idx="0">
                  <c:v>0.82509999999999994</c:v>
                </c:pt>
                <c:pt idx="1">
                  <c:v>0.84990000000000065</c:v>
                </c:pt>
                <c:pt idx="2">
                  <c:v>0.87095000000001088</c:v>
                </c:pt>
                <c:pt idx="3">
                  <c:v>0.75444999999999995</c:v>
                </c:pt>
              </c:numCache>
            </c:numRef>
          </c:val>
        </c:ser>
        <c:ser>
          <c:idx val="1"/>
          <c:order val="1"/>
          <c:cat>
            <c:strRef>
              <c:f>'INDICADORES DE DESARROLLO HUMAN'!$A$3:$B$6</c:f>
              <c:strCache>
                <c:ptCount val="4"/>
                <c:pt idx="0">
                  <c:v>Índice de desarrollo humano</c:v>
                </c:pt>
                <c:pt idx="1">
                  <c:v>Índice de educación</c:v>
                </c:pt>
                <c:pt idx="2">
                  <c:v>Índice de salud</c:v>
                </c:pt>
                <c:pt idx="3">
                  <c:v>Índice de ingreso</c:v>
                </c:pt>
              </c:strCache>
            </c:strRef>
          </c:cat>
          <c:val>
            <c:numRef>
              <c:f>'INDICADORES DE DESARROLLO HUMAN'!$D$3:$D$6</c:f>
              <c:numCache>
                <c:formatCode>General</c:formatCode>
                <c:ptCount val="4"/>
              </c:numCache>
            </c:numRef>
          </c:val>
        </c:ser>
        <c:dLbls>
          <c:showVal val="1"/>
        </c:dLbls>
        <c:shape val="box"/>
        <c:axId val="75968512"/>
        <c:axId val="75970048"/>
        <c:axId val="0"/>
      </c:bar3DChart>
      <c:catAx>
        <c:axId val="75968512"/>
        <c:scaling>
          <c:orientation val="minMax"/>
        </c:scaling>
        <c:axPos val="b"/>
        <c:numFmt formatCode="General" sourceLinked="1"/>
        <c:majorTickMark val="none"/>
        <c:tickLblPos val="nextTo"/>
        <c:txPr>
          <a:bodyPr/>
          <a:lstStyle/>
          <a:p>
            <a:pPr>
              <a:defRPr sz="900"/>
            </a:pPr>
            <a:endParaRPr lang="es-MX"/>
          </a:p>
        </c:txPr>
        <c:crossAx val="75970048"/>
        <c:crosses val="autoZero"/>
        <c:auto val="1"/>
        <c:lblAlgn val="ctr"/>
        <c:lblOffset val="100"/>
      </c:catAx>
      <c:valAx>
        <c:axId val="75970048"/>
        <c:scaling>
          <c:orientation val="minMax"/>
        </c:scaling>
        <c:delete val="1"/>
        <c:axPos val="l"/>
        <c:numFmt formatCode="General" sourceLinked="1"/>
        <c:tickLblPos val="none"/>
        <c:crossAx val="75968512"/>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1">
                <a:latin typeface="Arial" pitchFamily="34" charset="0"/>
                <a:cs typeface="Arial" pitchFamily="34" charset="0"/>
              </a:defRPr>
            </a:pPr>
            <a:r>
              <a:rPr lang="es-MX" sz="1000" b="1">
                <a:latin typeface="Arial" pitchFamily="34" charset="0"/>
                <a:cs typeface="Arial" pitchFamily="34" charset="0"/>
              </a:rPr>
              <a:t>COATZACOALCOS.</a:t>
            </a:r>
            <a:r>
              <a:rPr lang="es-MX" sz="1000" b="1" baseline="0">
                <a:latin typeface="Arial" pitchFamily="34" charset="0"/>
                <a:cs typeface="Arial" pitchFamily="34" charset="0"/>
              </a:rPr>
              <a:t> No. DE ESCUELAS POR NIVEL EDUCATIVO</a:t>
            </a:r>
            <a:endParaRPr lang="es-MX" sz="1000" b="1">
              <a:latin typeface="Arial" pitchFamily="34" charset="0"/>
              <a:cs typeface="Arial" pitchFamily="34" charset="0"/>
            </a:endParaRP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1759059451882432"/>
          <c:y val="0.14271475172163844"/>
          <c:w val="0.65631337207825302"/>
          <c:h val="0.78026458861906456"/>
        </c:manualLayout>
      </c:layout>
      <c:bar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'No. ESC. X NIVEL EDUCATIVO'!$A$3:$B$14</c:f>
              <c:strCache>
                <c:ptCount val="12"/>
                <c:pt idx="0">
                  <c:v>Posgrado y Univ. Tec.</c:v>
                </c:pt>
                <c:pt idx="1">
                  <c:v>Normal</c:v>
                </c:pt>
                <c:pt idx="2">
                  <c:v>Educación para adultos</c:v>
                </c:pt>
                <c:pt idx="3">
                  <c:v>Profesional técnico</c:v>
                </c:pt>
                <c:pt idx="4">
                  <c:v>Educació especial</c:v>
                </c:pt>
                <c:pt idx="5">
                  <c:v>Educació inicial</c:v>
                </c:pt>
                <c:pt idx="6">
                  <c:v>Licenciatura Univ. Y Tec.</c:v>
                </c:pt>
                <c:pt idx="7">
                  <c:v>Capacitación para el trabajo</c:v>
                </c:pt>
                <c:pt idx="8">
                  <c:v>Bachillerato</c:v>
                </c:pt>
                <c:pt idx="9">
                  <c:v>Secundaria</c:v>
                </c:pt>
                <c:pt idx="10">
                  <c:v>Preescolar</c:v>
                </c:pt>
                <c:pt idx="11">
                  <c:v>Primaria</c:v>
                </c:pt>
              </c:strCache>
            </c:strRef>
          </c:cat>
          <c:val>
            <c:numRef>
              <c:f>'No. ESC. X NIVEL EDUCATIVO'!$C$3:$C$14</c:f>
              <c:numCache>
                <c:formatCode>General</c:formatCode>
                <c:ptCount val="12"/>
                <c:pt idx="0">
                  <c:v>1</c:v>
                </c:pt>
                <c:pt idx="1">
                  <c:v>2</c:v>
                </c:pt>
                <c:pt idx="2">
                  <c:v>2</c:v>
                </c:pt>
                <c:pt idx="3">
                  <c:v>3</c:v>
                </c:pt>
                <c:pt idx="4">
                  <c:v>8</c:v>
                </c:pt>
                <c:pt idx="5">
                  <c:v>9</c:v>
                </c:pt>
                <c:pt idx="6">
                  <c:v>11</c:v>
                </c:pt>
                <c:pt idx="7">
                  <c:v>32</c:v>
                </c:pt>
                <c:pt idx="8">
                  <c:v>38</c:v>
                </c:pt>
                <c:pt idx="9">
                  <c:v>46</c:v>
                </c:pt>
                <c:pt idx="10">
                  <c:v>133</c:v>
                </c:pt>
                <c:pt idx="11">
                  <c:v>157</c:v>
                </c:pt>
              </c:numCache>
            </c:numRef>
          </c:val>
        </c:ser>
        <c:ser>
          <c:idx val="1"/>
          <c:order val="1"/>
          <c:cat>
            <c:strRef>
              <c:f>'No. ESC. X NIVEL EDUCATIVO'!$A$3:$B$14</c:f>
              <c:strCache>
                <c:ptCount val="12"/>
                <c:pt idx="0">
                  <c:v>Posgrado y Univ. Tec.</c:v>
                </c:pt>
                <c:pt idx="1">
                  <c:v>Normal</c:v>
                </c:pt>
                <c:pt idx="2">
                  <c:v>Educación para adultos</c:v>
                </c:pt>
                <c:pt idx="3">
                  <c:v>Profesional técnico</c:v>
                </c:pt>
                <c:pt idx="4">
                  <c:v>Educació especial</c:v>
                </c:pt>
                <c:pt idx="5">
                  <c:v>Educació inicial</c:v>
                </c:pt>
                <c:pt idx="6">
                  <c:v>Licenciatura Univ. Y Tec.</c:v>
                </c:pt>
                <c:pt idx="7">
                  <c:v>Capacitación para el trabajo</c:v>
                </c:pt>
                <c:pt idx="8">
                  <c:v>Bachillerato</c:v>
                </c:pt>
                <c:pt idx="9">
                  <c:v>Secundaria</c:v>
                </c:pt>
                <c:pt idx="10">
                  <c:v>Preescolar</c:v>
                </c:pt>
                <c:pt idx="11">
                  <c:v>Primaria</c:v>
                </c:pt>
              </c:strCache>
            </c:strRef>
          </c:cat>
          <c:val>
            <c:numRef>
              <c:f>'No. ESC. X NIVEL EDUCATIVO'!$D$3:$D$14</c:f>
              <c:numCache>
                <c:formatCode>General</c:formatCode>
                <c:ptCount val="12"/>
              </c:numCache>
            </c:numRef>
          </c:val>
        </c:ser>
        <c:dLbls>
          <c:showVal val="1"/>
        </c:dLbls>
        <c:gapWidth val="90"/>
        <c:axId val="76125312"/>
        <c:axId val="76126848"/>
      </c:barChart>
      <c:catAx>
        <c:axId val="76125312"/>
        <c:scaling>
          <c:orientation val="minMax"/>
        </c:scaling>
        <c:axPos val="l"/>
        <c:numFmt formatCode="General" sourceLinked="1"/>
        <c:majorTickMark val="none"/>
        <c:tickLblPos val="nextTo"/>
        <c:crossAx val="76126848"/>
        <c:crosses val="autoZero"/>
        <c:auto val="1"/>
        <c:lblAlgn val="ctr"/>
        <c:lblOffset val="100"/>
      </c:catAx>
      <c:valAx>
        <c:axId val="76126848"/>
        <c:scaling>
          <c:orientation val="minMax"/>
        </c:scaling>
        <c:delete val="1"/>
        <c:axPos val="b"/>
        <c:numFmt formatCode="General" sourceLinked="1"/>
        <c:tickLblPos val="none"/>
        <c:crossAx val="76125312"/>
        <c:crosses val="autoZero"/>
        <c:crossBetween val="between"/>
      </c:valAx>
    </c:plotArea>
    <c:plotVisOnly val="1"/>
    <c:dispBlanksAs val="gap"/>
  </c:chart>
  <c:spPr>
    <a:effectLst>
      <a:outerShdw blurRad="50800" dist="38100" dir="2700000" algn="tl" rotWithShape="0">
        <a:prstClr val="black">
          <a:alpha val="40000"/>
        </a:prstClr>
      </a:outerShdw>
    </a:effectLst>
  </c:sp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latin typeface="Arial" pitchFamily="34" charset="0"/>
                <a:cs typeface="Arial" pitchFamily="34" charset="0"/>
              </a:defRPr>
            </a:pPr>
            <a:r>
              <a:rPr lang="es-MX" sz="1000">
                <a:latin typeface="Arial" pitchFamily="34" charset="0"/>
                <a:cs typeface="Arial" pitchFamily="34" charset="0"/>
              </a:rPr>
              <a:t>COATZACOALCOS.</a:t>
            </a:r>
            <a:r>
              <a:rPr lang="es-MX" sz="1000" baseline="0">
                <a:latin typeface="Arial" pitchFamily="34" charset="0"/>
                <a:cs typeface="Arial" pitchFamily="34" charset="0"/>
              </a:rPr>
              <a:t> ALUMNOS POR NIVEL EDUCATIVO</a:t>
            </a:r>
            <a:endParaRPr lang="es-MX" sz="1000">
              <a:latin typeface="Arial" pitchFamily="34" charset="0"/>
              <a:cs typeface="Arial" pitchFamily="34" charset="0"/>
            </a:endParaRP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4.7353308273764945E-2"/>
          <c:y val="0.14942303770443593"/>
          <c:w val="0.92519213766031783"/>
          <c:h val="0.35961779376072933"/>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 sourceLinked="0"/>
            <c:txPr>
              <a:bodyPr/>
              <a:lstStyle/>
              <a:p>
                <a:pPr>
                  <a:defRPr sz="800"/>
                </a:pPr>
                <a:endParaRPr lang="es-MX"/>
              </a:p>
            </c:txPr>
            <c:showVal val="1"/>
          </c:dLbls>
          <c:cat>
            <c:strRef>
              <c:f>'ALUMNOS X NIVEL EDUCATIVO'!$A$2:$B$13</c:f>
              <c:strCache>
                <c:ptCount val="12"/>
                <c:pt idx="0">
                  <c:v>Primaria</c:v>
                </c:pt>
                <c:pt idx="1">
                  <c:v>Secundaria</c:v>
                </c:pt>
                <c:pt idx="2">
                  <c:v>Licenciatura Univ. Y Tec.</c:v>
                </c:pt>
                <c:pt idx="3">
                  <c:v>Bachillerato</c:v>
                </c:pt>
                <c:pt idx="4">
                  <c:v>Prescolar</c:v>
                </c:pt>
                <c:pt idx="5">
                  <c:v>Capacitación para el trabajo</c:v>
                </c:pt>
                <c:pt idx="6">
                  <c:v>Profesional Técnico</c:v>
                </c:pt>
                <c:pt idx="7">
                  <c:v>Educación inicial</c:v>
                </c:pt>
                <c:pt idx="8">
                  <c:v>Posgrado Univ. Y Tec.</c:v>
                </c:pt>
                <c:pt idx="9">
                  <c:v>Educación especial</c:v>
                </c:pt>
                <c:pt idx="10">
                  <c:v>Normal</c:v>
                </c:pt>
                <c:pt idx="11">
                  <c:v>Educación para adultos</c:v>
                </c:pt>
              </c:strCache>
            </c:strRef>
          </c:cat>
          <c:val>
            <c:numRef>
              <c:f>'ALUMNOS X NIVEL EDUCATIVO'!$C$2:$C$13</c:f>
              <c:numCache>
                <c:formatCode>General</c:formatCode>
                <c:ptCount val="12"/>
                <c:pt idx="0">
                  <c:v>35561</c:v>
                </c:pt>
                <c:pt idx="1">
                  <c:v>15985</c:v>
                </c:pt>
                <c:pt idx="2">
                  <c:v>11680</c:v>
                </c:pt>
                <c:pt idx="3">
                  <c:v>11605</c:v>
                </c:pt>
                <c:pt idx="4">
                  <c:v>9035</c:v>
                </c:pt>
                <c:pt idx="5">
                  <c:v>4894</c:v>
                </c:pt>
                <c:pt idx="6">
                  <c:v>1057</c:v>
                </c:pt>
                <c:pt idx="7">
                  <c:v>744</c:v>
                </c:pt>
                <c:pt idx="8">
                  <c:v>586</c:v>
                </c:pt>
                <c:pt idx="9">
                  <c:v>379</c:v>
                </c:pt>
                <c:pt idx="10">
                  <c:v>161</c:v>
                </c:pt>
                <c:pt idx="11">
                  <c:v>86</c:v>
                </c:pt>
              </c:numCache>
            </c:numRef>
          </c:val>
        </c:ser>
        <c:ser>
          <c:idx val="1"/>
          <c:order val="1"/>
          <c:cat>
            <c:strRef>
              <c:f>'ALUMNOS X NIVEL EDUCATIVO'!$A$2:$B$13</c:f>
              <c:strCache>
                <c:ptCount val="12"/>
                <c:pt idx="0">
                  <c:v>Primaria</c:v>
                </c:pt>
                <c:pt idx="1">
                  <c:v>Secundaria</c:v>
                </c:pt>
                <c:pt idx="2">
                  <c:v>Licenciatura Univ. Y Tec.</c:v>
                </c:pt>
                <c:pt idx="3">
                  <c:v>Bachillerato</c:v>
                </c:pt>
                <c:pt idx="4">
                  <c:v>Prescolar</c:v>
                </c:pt>
                <c:pt idx="5">
                  <c:v>Capacitación para el trabajo</c:v>
                </c:pt>
                <c:pt idx="6">
                  <c:v>Profesional Técnico</c:v>
                </c:pt>
                <c:pt idx="7">
                  <c:v>Educación inicial</c:v>
                </c:pt>
                <c:pt idx="8">
                  <c:v>Posgrado Univ. Y Tec.</c:v>
                </c:pt>
                <c:pt idx="9">
                  <c:v>Educación especial</c:v>
                </c:pt>
                <c:pt idx="10">
                  <c:v>Normal</c:v>
                </c:pt>
                <c:pt idx="11">
                  <c:v>Educación para adultos</c:v>
                </c:pt>
              </c:strCache>
            </c:strRef>
          </c:cat>
          <c:val>
            <c:numRef>
              <c:f>'ALUMNOS X NIVEL EDUCATIVO'!$D$2:$D$13</c:f>
              <c:numCache>
                <c:formatCode>General</c:formatCode>
                <c:ptCount val="12"/>
              </c:numCache>
            </c:numRef>
          </c:val>
        </c:ser>
        <c:dLbls>
          <c:showVal val="1"/>
        </c:dLbls>
        <c:shape val="box"/>
        <c:axId val="75830400"/>
        <c:axId val="75831936"/>
        <c:axId val="0"/>
      </c:bar3DChart>
      <c:catAx>
        <c:axId val="75830400"/>
        <c:scaling>
          <c:orientation val="minMax"/>
        </c:scaling>
        <c:axPos val="b"/>
        <c:numFmt formatCode="General" sourceLinked="1"/>
        <c:majorTickMark val="none"/>
        <c:tickLblPos val="nextTo"/>
        <c:txPr>
          <a:bodyPr/>
          <a:lstStyle/>
          <a:p>
            <a:pPr>
              <a:defRPr sz="800"/>
            </a:pPr>
            <a:endParaRPr lang="es-MX"/>
          </a:p>
        </c:txPr>
        <c:crossAx val="75831936"/>
        <c:crosses val="autoZero"/>
        <c:auto val="1"/>
        <c:lblAlgn val="ctr"/>
        <c:lblOffset val="100"/>
      </c:catAx>
      <c:valAx>
        <c:axId val="75831936"/>
        <c:scaling>
          <c:orientation val="minMax"/>
        </c:scaling>
        <c:delete val="1"/>
        <c:axPos val="l"/>
        <c:numFmt formatCode="General" sourceLinked="1"/>
        <c:tickLblPos val="none"/>
        <c:crossAx val="75830400"/>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900" b="0">
                <a:latin typeface="Arial" pitchFamily="34" charset="0"/>
                <a:cs typeface="Arial" pitchFamily="34" charset="0"/>
              </a:defRPr>
            </a:pPr>
            <a:r>
              <a:rPr lang="es-MX" sz="900" b="0">
                <a:latin typeface="Arial" pitchFamily="34" charset="0"/>
                <a:cs typeface="Arial" pitchFamily="34" charset="0"/>
              </a:rPr>
              <a:t>COATZACOALCOS.</a:t>
            </a:r>
            <a:r>
              <a:rPr lang="es-MX" sz="900" b="0" baseline="0">
                <a:latin typeface="Arial" pitchFamily="34" charset="0"/>
                <a:cs typeface="Arial" pitchFamily="34" charset="0"/>
              </a:rPr>
              <a:t>  HABITANTES EN PRINCIPALES LOCALIDADES</a:t>
            </a:r>
          </a:p>
          <a:p>
            <a:pPr>
              <a:defRPr sz="900" b="0">
                <a:latin typeface="Arial" pitchFamily="34" charset="0"/>
                <a:cs typeface="Arial" pitchFamily="34" charset="0"/>
              </a:defRPr>
            </a:pPr>
            <a:r>
              <a:rPr lang="es-MX" sz="900" b="0" baseline="0">
                <a:latin typeface="Arial" pitchFamily="34" charset="0"/>
                <a:cs typeface="Arial" pitchFamily="34" charset="0"/>
              </a:rPr>
              <a:t>(Personas)</a:t>
            </a:r>
            <a:endParaRPr lang="es-MX" sz="900" b="0">
              <a:latin typeface="Arial" pitchFamily="34" charset="0"/>
              <a:cs typeface="Arial" pitchFamily="34" charset="0"/>
            </a:endParaRP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6947917983212392"/>
          <c:y val="0.22632366271468232"/>
          <c:w val="0.51813557153734457"/>
          <c:h val="0.69533353096100159"/>
        </c:manualLayout>
      </c:layout>
      <c:bar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5"/>
              <c:layout>
                <c:manualLayout>
                  <c:x val="0"/>
                  <c:y val="-4.3523781291285504E-3"/>
                </c:manualLayout>
              </c:layout>
              <c:showVal val="1"/>
            </c:dLbl>
            <c:numFmt formatCode="#,##0" sourceLinked="0"/>
            <c:txPr>
              <a:bodyPr/>
              <a:lstStyle/>
              <a:p>
                <a:pPr>
                  <a:defRPr sz="800"/>
                </a:pPr>
                <a:endParaRPr lang="es-MX"/>
              </a:p>
            </c:txPr>
            <c:showVal val="1"/>
          </c:dLbls>
          <c:cat>
            <c:strRef>
              <c:f>'HABITANTES EN PRINCIPALES LOCAL'!$A$3:$B$8</c:f>
              <c:strCache>
                <c:ptCount val="6"/>
                <c:pt idx="0">
                  <c:v>Resto de localidades</c:v>
                </c:pt>
                <c:pt idx="1">
                  <c:v>Fraccionamiento Ciudad Olmeca</c:v>
                </c:pt>
                <c:pt idx="2">
                  <c:v>Lomas de Barrillas</c:v>
                </c:pt>
                <c:pt idx="3">
                  <c:v>Mundo Nuevo</c:v>
                </c:pt>
                <c:pt idx="4">
                  <c:v>Allende</c:v>
                </c:pt>
                <c:pt idx="5">
                  <c:v>Coatzacoalcos</c:v>
                </c:pt>
              </c:strCache>
            </c:strRef>
          </c:cat>
          <c:val>
            <c:numRef>
              <c:f>'HABITANTES EN PRINCIPALES LOCAL'!$C$3:$C$8</c:f>
              <c:numCache>
                <c:formatCode>General</c:formatCode>
                <c:ptCount val="6"/>
                <c:pt idx="0">
                  <c:v>4948</c:v>
                </c:pt>
                <c:pt idx="1">
                  <c:v>5946</c:v>
                </c:pt>
                <c:pt idx="2">
                  <c:v>6772</c:v>
                </c:pt>
                <c:pt idx="3">
                  <c:v>8022</c:v>
                </c:pt>
                <c:pt idx="4">
                  <c:v>20501</c:v>
                </c:pt>
                <c:pt idx="5">
                  <c:v>234174</c:v>
                </c:pt>
              </c:numCache>
            </c:numRef>
          </c:val>
        </c:ser>
        <c:ser>
          <c:idx val="1"/>
          <c:order val="1"/>
          <c:cat>
            <c:strRef>
              <c:f>'HABITANTES EN PRINCIPALES LOCAL'!$A$3:$B$8</c:f>
              <c:strCache>
                <c:ptCount val="6"/>
                <c:pt idx="0">
                  <c:v>Resto de localidades</c:v>
                </c:pt>
                <c:pt idx="1">
                  <c:v>Fraccionamiento Ciudad Olmeca</c:v>
                </c:pt>
                <c:pt idx="2">
                  <c:v>Lomas de Barrillas</c:v>
                </c:pt>
                <c:pt idx="3">
                  <c:v>Mundo Nuevo</c:v>
                </c:pt>
                <c:pt idx="4">
                  <c:v>Allende</c:v>
                </c:pt>
                <c:pt idx="5">
                  <c:v>Coatzacoalcos</c:v>
                </c:pt>
              </c:strCache>
            </c:strRef>
          </c:cat>
          <c:val>
            <c:numRef>
              <c:f>'HABITANTES EN PRINCIPALES LOCAL'!$D$3:$D$8</c:f>
              <c:numCache>
                <c:formatCode>General</c:formatCode>
                <c:ptCount val="6"/>
              </c:numCache>
            </c:numRef>
          </c:val>
        </c:ser>
        <c:dLbls>
          <c:showVal val="1"/>
        </c:dLbls>
        <c:overlap val="-25"/>
        <c:axId val="76090752"/>
        <c:axId val="76108928"/>
      </c:barChart>
      <c:catAx>
        <c:axId val="76090752"/>
        <c:scaling>
          <c:orientation val="minMax"/>
        </c:scaling>
        <c:axPos val="l"/>
        <c:numFmt formatCode="General" sourceLinked="1"/>
        <c:majorTickMark val="none"/>
        <c:tickLblPos val="nextTo"/>
        <c:crossAx val="76108928"/>
        <c:crosses val="autoZero"/>
        <c:auto val="1"/>
        <c:lblAlgn val="ctr"/>
        <c:lblOffset val="100"/>
      </c:catAx>
      <c:valAx>
        <c:axId val="76108928"/>
        <c:scaling>
          <c:orientation val="minMax"/>
        </c:scaling>
        <c:delete val="1"/>
        <c:axPos val="b"/>
        <c:numFmt formatCode="General" sourceLinked="1"/>
        <c:tickLblPos val="none"/>
        <c:crossAx val="76090752"/>
        <c:crosses val="autoZero"/>
        <c:crossBetween val="between"/>
      </c:valAx>
    </c:plotArea>
    <c:plotVisOnly val="1"/>
    <c:dispBlanksAs val="gap"/>
  </c:chart>
  <c:spPr>
    <a:effectLst>
      <a:outerShdw blurRad="50800" dist="38100" dir="2700000" algn="tl" rotWithShape="0">
        <a:prstClr val="black">
          <a:alpha val="40000"/>
        </a:prstClr>
      </a:outerShdw>
    </a:effectLst>
  </c:sp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400"/>
              <a:t>Coatzacoalcos.</a:t>
            </a:r>
            <a:r>
              <a:rPr lang="es-MX" sz="1400" baseline="0"/>
              <a:t> Indicadores de Salud. 2008</a:t>
            </a:r>
            <a:endParaRPr lang="es-MX" sz="14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3.0548766940679848E-2"/>
          <c:y val="0.17172091300523173"/>
          <c:w val="0.9389024661186407"/>
          <c:h val="0.56120270951592832"/>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3.6111111111111212E-2"/>
                  <c:y val="-3.2407407407407919E-2"/>
                </c:manualLayout>
              </c:layout>
              <c:showVal val="1"/>
            </c:dLbl>
            <c:dLbl>
              <c:idx val="1"/>
              <c:layout>
                <c:manualLayout>
                  <c:x val="2.2222222222222251E-2"/>
                  <c:y val="-2.777777777777838E-2"/>
                </c:manualLayout>
              </c:layout>
              <c:showVal val="1"/>
            </c:dLbl>
            <c:dLbl>
              <c:idx val="2"/>
              <c:layout>
                <c:manualLayout>
                  <c:x val="3.0555555555555454E-2"/>
                  <c:y val="-2.3148148148148147E-2"/>
                </c:manualLayout>
              </c:layout>
              <c:showVal val="1"/>
            </c:dLbl>
            <c:showVal val="1"/>
          </c:dLbls>
          <c:cat>
            <c:strRef>
              <c:f>Hoja2!$A$2:$A$4</c:f>
              <c:strCache>
                <c:ptCount val="3"/>
                <c:pt idx="0">
                  <c:v>Tasa de mortalidad infantil</c:v>
                </c:pt>
                <c:pt idx="1">
                  <c:v>Tasa de natalidad</c:v>
                </c:pt>
                <c:pt idx="2">
                  <c:v>Tasa de mortalidad general</c:v>
                </c:pt>
              </c:strCache>
            </c:strRef>
          </c:cat>
          <c:val>
            <c:numRef>
              <c:f>Hoja2!$B$2:$B$4</c:f>
              <c:numCache>
                <c:formatCode>General</c:formatCode>
                <c:ptCount val="3"/>
                <c:pt idx="0">
                  <c:v>13</c:v>
                </c:pt>
                <c:pt idx="1">
                  <c:v>17</c:v>
                </c:pt>
                <c:pt idx="2">
                  <c:v>384</c:v>
                </c:pt>
              </c:numCache>
            </c:numRef>
          </c:val>
        </c:ser>
        <c:dLbls>
          <c:showVal val="1"/>
        </c:dLbls>
        <c:shape val="box"/>
        <c:axId val="75935744"/>
        <c:axId val="75937280"/>
        <c:axId val="0"/>
      </c:bar3DChart>
      <c:catAx>
        <c:axId val="75935744"/>
        <c:scaling>
          <c:orientation val="minMax"/>
        </c:scaling>
        <c:axPos val="b"/>
        <c:numFmt formatCode="General" sourceLinked="1"/>
        <c:majorTickMark val="none"/>
        <c:tickLblPos val="nextTo"/>
        <c:crossAx val="75937280"/>
        <c:crosses val="autoZero"/>
        <c:auto val="1"/>
        <c:lblAlgn val="ctr"/>
        <c:lblOffset val="100"/>
      </c:catAx>
      <c:valAx>
        <c:axId val="75937280"/>
        <c:scaling>
          <c:orientation val="minMax"/>
        </c:scaling>
        <c:delete val="1"/>
        <c:axPos val="l"/>
        <c:numFmt formatCode="General" sourceLinked="1"/>
        <c:tickLblPos val="none"/>
        <c:crossAx val="75935744"/>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latin typeface="Arial" pitchFamily="34" charset="0"/>
                <a:cs typeface="Arial" pitchFamily="34" charset="0"/>
              </a:defRPr>
            </a:pPr>
            <a:r>
              <a:rPr lang="es-MX" sz="1000">
                <a:latin typeface="Arial" pitchFamily="34" charset="0"/>
                <a:cs typeface="Arial" pitchFamily="34" charset="0"/>
              </a:rPr>
              <a:t>COATZACOALCOS.</a:t>
            </a:r>
            <a:r>
              <a:rPr lang="es-MX" sz="1000" baseline="0">
                <a:latin typeface="Arial" pitchFamily="34" charset="0"/>
                <a:cs typeface="Arial" pitchFamily="34" charset="0"/>
              </a:rPr>
              <a:t> POBLACIÓN SEGÚN CONDICIÓN DE DERECHOHABIENCIA. 2005</a:t>
            </a:r>
            <a:endParaRPr lang="es-MX" sz="1000">
              <a:latin typeface="Arial" pitchFamily="34" charset="0"/>
              <a:cs typeface="Arial" pitchFamily="34" charset="0"/>
            </a:endParaRPr>
          </a:p>
        </c:rich>
      </c:tx>
      <c:spPr>
        <a:noFill/>
        <a:ln>
          <a:solidFill>
            <a:schemeClr val="tx1"/>
          </a:solidFill>
        </a:ln>
      </c:spPr>
    </c:title>
    <c:view3D>
      <c:rotX val="30"/>
      <c:perspective val="30"/>
    </c:view3D>
    <c:plotArea>
      <c:layout/>
      <c:pie3DChart>
        <c:varyColors val="1"/>
        <c:ser>
          <c:idx val="0"/>
          <c:order val="0"/>
          <c:spPr>
            <a:solidFill>
              <a:srgbClr val="92D050"/>
            </a:solidFill>
          </c:spPr>
          <c:explosion val="25"/>
          <c:dPt>
            <c:idx val="0"/>
            <c:spPr>
              <a:solidFill>
                <a:schemeClr val="accent6">
                  <a:lumMod val="75000"/>
                </a:schemeClr>
              </a:solidFill>
            </c:spPr>
          </c:dPt>
          <c:dLbls>
            <c:dLbl>
              <c:idx val="0"/>
              <c:layout>
                <c:manualLayout>
                  <c:x val="4.3425838038160886E-2"/>
                  <c:y val="7.3152146704177886E-3"/>
                </c:manualLayout>
              </c:layout>
              <c:spPr/>
              <c:txPr>
                <a:bodyPr/>
                <a:lstStyle/>
                <a:p>
                  <a:pPr>
                    <a:defRPr/>
                  </a:pPr>
                  <a:endParaRPr lang="es-MX"/>
                </a:p>
              </c:txPr>
              <c:dLblPos val="bestFit"/>
              <c:showCatName val="1"/>
              <c:showPercent val="1"/>
            </c:dLbl>
            <c:dLbl>
              <c:idx val="1"/>
              <c:layout>
                <c:manualLayout>
                  <c:x val="0.21700565763326621"/>
                  <c:y val="-0.18157129520154033"/>
                </c:manualLayout>
              </c:layout>
              <c:spPr/>
              <c:txPr>
                <a:bodyPr/>
                <a:lstStyle/>
                <a:p>
                  <a:pPr>
                    <a:defRPr/>
                  </a:pPr>
                  <a:endParaRPr lang="es-MX"/>
                </a:p>
              </c:txPr>
              <c:dLblPos val="bestFit"/>
              <c:showCatName val="1"/>
              <c:showPercent val="1"/>
            </c:dLbl>
            <c:showCatName val="1"/>
            <c:showPercent val="1"/>
            <c:showLeaderLines val="1"/>
          </c:dLbls>
          <c:cat>
            <c:strRef>
              <c:f>'CONDICIONES DE DERECHOHABIENCIA'!$D$1:$E$1</c:f>
              <c:strCache>
                <c:ptCount val="2"/>
                <c:pt idx="0">
                  <c:v>Población sin derechohabiencia a servicios de salud</c:v>
                </c:pt>
                <c:pt idx="1">
                  <c:v>Población derechohabiente a servicios de salud</c:v>
                </c:pt>
              </c:strCache>
            </c:strRef>
          </c:cat>
          <c:val>
            <c:numRef>
              <c:f>'CONDICIONES DE DERECHOHABIENCIA'!$D$2:$E$2</c:f>
              <c:numCache>
                <c:formatCode>General</c:formatCode>
                <c:ptCount val="2"/>
                <c:pt idx="0">
                  <c:v>100147</c:v>
                </c:pt>
                <c:pt idx="1">
                  <c:v>174966</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latin typeface="Arial" pitchFamily="34" charset="0"/>
                <a:cs typeface="Arial" pitchFamily="34" charset="0"/>
              </a:defRPr>
            </a:pPr>
            <a:r>
              <a:rPr lang="es-MX" sz="1000">
                <a:latin typeface="Arial" pitchFamily="34" charset="0"/>
                <a:cs typeface="Arial" pitchFamily="34" charset="0"/>
              </a:rPr>
              <a:t>COATZACOALCOS.</a:t>
            </a:r>
            <a:r>
              <a:rPr lang="es-MX" sz="1000" baseline="0">
                <a:latin typeface="Arial" pitchFamily="34" charset="0"/>
                <a:cs typeface="Arial" pitchFamily="34" charset="0"/>
              </a:rPr>
              <a:t> POBLACIÓN CON DERECHOHABIENCIA A SERVICIOS DE SALUD POR INSTITUCIÓN (Personas)</a:t>
            </a:r>
            <a:endParaRPr lang="es-MX" sz="1000">
              <a:latin typeface="Arial" pitchFamily="34" charset="0"/>
              <a:cs typeface="Arial" pitchFamily="34" charset="0"/>
            </a:endParaRPr>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pie3DChart>
        <c:varyColors val="1"/>
        <c:ser>
          <c:idx val="0"/>
          <c:order val="0"/>
          <c:explosion val="25"/>
          <c:dPt>
            <c:idx val="0"/>
            <c:spPr>
              <a:solidFill>
                <a:srgbClr val="92D050"/>
              </a:solidFill>
            </c:spPr>
          </c:dPt>
          <c:dPt>
            <c:idx val="1"/>
            <c:spPr>
              <a:solidFill>
                <a:srgbClr val="FFC000"/>
              </a:solidFill>
            </c:spPr>
          </c:dPt>
          <c:dPt>
            <c:idx val="2"/>
            <c:spPr>
              <a:solidFill>
                <a:schemeClr val="tx2">
                  <a:lumMod val="75000"/>
                </a:schemeClr>
              </a:solidFill>
            </c:spPr>
          </c:dPt>
          <c:dLbls>
            <c:dLbl>
              <c:idx val="0"/>
              <c:tx>
                <c:rich>
                  <a:bodyPr/>
                  <a:lstStyle/>
                  <a:p>
                    <a:r>
                      <a:rPr lang="en-US" sz="900"/>
                      <a:t>Población derechohabiente del IMSS
109,</a:t>
                    </a:r>
                    <a:r>
                      <a:rPr lang="en-US" sz="900" baseline="0"/>
                      <a:t> 821</a:t>
                    </a:r>
                    <a:endParaRPr lang="en-US" sz="900"/>
                  </a:p>
                </c:rich>
              </c:tx>
              <c:dLblPos val="bestFit"/>
            </c:dLbl>
            <c:dLbl>
              <c:idx val="1"/>
              <c:layout>
                <c:manualLayout>
                  <c:x val="1.895420211535148E-3"/>
                  <c:y val="0.23796039246820208"/>
                </c:manualLayout>
              </c:layout>
              <c:tx>
                <c:rich>
                  <a:bodyPr/>
                  <a:lstStyle/>
                  <a:p>
                    <a:r>
                      <a:rPr lang="en-US" sz="900"/>
                      <a:t>Población derechohabiente del ISSSTE
9,</a:t>
                    </a:r>
                    <a:r>
                      <a:rPr lang="en-US" sz="900" baseline="0"/>
                      <a:t> 525</a:t>
                    </a:r>
                    <a:endParaRPr lang="en-US" sz="900"/>
                  </a:p>
                </c:rich>
              </c:tx>
              <c:dLblPos val="bestFit"/>
            </c:dLbl>
            <c:dLbl>
              <c:idx val="2"/>
              <c:tx>
                <c:rich>
                  <a:bodyPr/>
                  <a:lstStyle/>
                  <a:p>
                    <a:r>
                      <a:rPr lang="en-US" sz="900"/>
                      <a:t>Población derechohabiente por el seguro popular
22,</a:t>
                    </a:r>
                    <a:r>
                      <a:rPr lang="en-US" sz="900" baseline="0"/>
                      <a:t> 661</a:t>
                    </a:r>
                    <a:endParaRPr lang="en-US" sz="900"/>
                  </a:p>
                </c:rich>
              </c:tx>
              <c:dLblPos val="bestFit"/>
            </c:dLbl>
            <c:txPr>
              <a:bodyPr/>
              <a:lstStyle/>
              <a:p>
                <a:pPr>
                  <a:defRPr sz="900"/>
                </a:pPr>
                <a:endParaRPr lang="es-MX"/>
              </a:p>
            </c:txPr>
            <c:showCatName val="1"/>
            <c:showPercent val="1"/>
            <c:showLeaderLines val="1"/>
          </c:dLbls>
          <c:cat>
            <c:strRef>
              <c:f>'CONDICIONES DE DERECHOHABIENCIA'!$F$1:$H$1</c:f>
              <c:strCache>
                <c:ptCount val="3"/>
                <c:pt idx="0">
                  <c:v>Población derechohabiente del IMSS</c:v>
                </c:pt>
                <c:pt idx="1">
                  <c:v>Población derechohabiente del ISSSTE</c:v>
                </c:pt>
                <c:pt idx="2">
                  <c:v>Población derechohabiente por el seguro popular</c:v>
                </c:pt>
              </c:strCache>
            </c:strRef>
          </c:cat>
          <c:val>
            <c:numRef>
              <c:f>'CONDICIONES DE DERECHOHABIENCIA'!$F$2:$H$2</c:f>
              <c:numCache>
                <c:formatCode>General</c:formatCode>
                <c:ptCount val="3"/>
                <c:pt idx="0">
                  <c:v>109821</c:v>
                </c:pt>
                <c:pt idx="1">
                  <c:v>9525</c:v>
                </c:pt>
                <c:pt idx="2">
                  <c:v>22661</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200" b="0"/>
              <a:t>COATZACOALCOS.</a:t>
            </a:r>
            <a:r>
              <a:rPr lang="es-MX" sz="1200" b="0" baseline="0"/>
              <a:t>  MONTO DE LOS RECURSOS DEL PROGRAMA OPORTUNIDADES. 2005</a:t>
            </a:r>
            <a:endParaRPr lang="es-MX" sz="12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manualLayout>
          <c:layoutTarget val="inner"/>
          <c:xMode val="edge"/>
          <c:yMode val="edge"/>
          <c:x val="3.0560648997055066E-2"/>
          <c:y val="0.22807179866765337"/>
          <c:w val="0.93887870200589674"/>
          <c:h val="0.58928170733839613"/>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2.7777777777778921E-2"/>
                  <c:y val="-2.7777777777778921E-2"/>
                </c:manualLayout>
              </c:layout>
              <c:numFmt formatCode="#,##0" sourceLinked="0"/>
              <c:spPr/>
              <c:txPr>
                <a:bodyPr/>
                <a:lstStyle/>
                <a:p>
                  <a:pPr>
                    <a:defRPr/>
                  </a:pPr>
                  <a:endParaRPr lang="es-MX"/>
                </a:p>
              </c:txPr>
              <c:showVal val="1"/>
            </c:dLbl>
            <c:dLbl>
              <c:idx val="1"/>
              <c:layout>
                <c:manualLayout>
                  <c:x val="2.5000000000000001E-2"/>
                  <c:y val="-2.7777777777778921E-2"/>
                </c:manualLayout>
              </c:layout>
              <c:numFmt formatCode="#,##0" sourceLinked="0"/>
              <c:spPr/>
              <c:txPr>
                <a:bodyPr/>
                <a:lstStyle/>
                <a:p>
                  <a:pPr>
                    <a:defRPr/>
                  </a:pPr>
                  <a:endParaRPr lang="es-MX"/>
                </a:p>
              </c:txPr>
              <c:showVal val="1"/>
            </c:dLbl>
            <c:dLbl>
              <c:idx val="2"/>
              <c:layout>
                <c:manualLayout>
                  <c:x val="2.7777777777778921E-2"/>
                  <c:y val="-4.1666666666666664E-2"/>
                </c:manualLayout>
              </c:layout>
              <c:numFmt formatCode="#,##0" sourceLinked="0"/>
              <c:spPr/>
              <c:txPr>
                <a:bodyPr/>
                <a:lstStyle/>
                <a:p>
                  <a:pPr>
                    <a:defRPr/>
                  </a:pPr>
                  <a:endParaRPr lang="es-MX"/>
                </a:p>
              </c:txPr>
              <c:showVal val="1"/>
            </c:dLbl>
            <c:showVal val="1"/>
          </c:dLbls>
          <c:cat>
            <c:strRef>
              <c:f>'Programa de Oportunidades'!$C$1:$E$1</c:f>
              <c:strCache>
                <c:ptCount val="3"/>
                <c:pt idx="0">
                  <c:v>BECAS EDUCATIVAS</c:v>
                </c:pt>
                <c:pt idx="1">
                  <c:v>ALIMENTOS</c:v>
                </c:pt>
                <c:pt idx="2">
                  <c:v>ÚTILES ESCOLARES</c:v>
                </c:pt>
              </c:strCache>
            </c:strRef>
          </c:cat>
          <c:val>
            <c:numRef>
              <c:f>'Programa de Oportunidades'!$C$2:$E$2</c:f>
              <c:numCache>
                <c:formatCode>General</c:formatCode>
                <c:ptCount val="3"/>
                <c:pt idx="0">
                  <c:v>24401315</c:v>
                </c:pt>
                <c:pt idx="1">
                  <c:v>13478005</c:v>
                </c:pt>
                <c:pt idx="2">
                  <c:v>2076075</c:v>
                </c:pt>
              </c:numCache>
            </c:numRef>
          </c:val>
        </c:ser>
        <c:dLbls>
          <c:showVal val="1"/>
        </c:dLbls>
        <c:shape val="box"/>
        <c:axId val="76318976"/>
        <c:axId val="76320768"/>
        <c:axId val="0"/>
      </c:bar3DChart>
      <c:catAx>
        <c:axId val="76318976"/>
        <c:scaling>
          <c:orientation val="minMax"/>
        </c:scaling>
        <c:axPos val="b"/>
        <c:numFmt formatCode="#,##0" sourceLinked="1"/>
        <c:majorTickMark val="none"/>
        <c:tickLblPos val="nextTo"/>
        <c:crossAx val="76320768"/>
        <c:crosses val="autoZero"/>
        <c:auto val="1"/>
        <c:lblAlgn val="ctr"/>
        <c:lblOffset val="100"/>
      </c:catAx>
      <c:valAx>
        <c:axId val="76320768"/>
        <c:scaling>
          <c:orientation val="minMax"/>
        </c:scaling>
        <c:delete val="1"/>
        <c:axPos val="l"/>
        <c:numFmt formatCode="General" sourceLinked="1"/>
        <c:tickLblPos val="none"/>
        <c:crossAx val="76318976"/>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200" b="0"/>
              <a:t>COATZACOALCOS.</a:t>
            </a:r>
            <a:r>
              <a:rPr lang="es-MX" sz="1200" b="0" baseline="0"/>
              <a:t>  MIGRACIÓN A ESTADOS UNIDOS. 2000</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2.5000000000000001E-2"/>
                  <c:y val="-2.3148148148148147E-2"/>
                </c:manualLayout>
              </c:layout>
              <c:spPr/>
              <c:txPr>
                <a:bodyPr/>
                <a:lstStyle/>
                <a:p>
                  <a:pPr>
                    <a:defRPr/>
                  </a:pPr>
                  <a:endParaRPr lang="es-MX"/>
                </a:p>
              </c:txPr>
              <c:showVal val="1"/>
            </c:dLbl>
            <c:dLbl>
              <c:idx val="1"/>
              <c:layout>
                <c:manualLayout>
                  <c:x val="3.0555555555555582E-2"/>
                  <c:y val="-1.3888888888889237E-2"/>
                </c:manualLayout>
              </c:layout>
              <c:spPr/>
              <c:txPr>
                <a:bodyPr/>
                <a:lstStyle/>
                <a:p>
                  <a:pPr>
                    <a:defRPr/>
                  </a:pPr>
                  <a:endParaRPr lang="es-MX"/>
                </a:p>
              </c:txPr>
              <c:showVal val="1"/>
            </c:dLbl>
            <c:dLbl>
              <c:idx val="2"/>
              <c:layout>
                <c:manualLayout>
                  <c:x val="3.3333333333333229E-2"/>
                  <c:y val="-1.3888888888889237E-2"/>
                </c:manualLayout>
              </c:layout>
              <c:spPr/>
              <c:txPr>
                <a:bodyPr/>
                <a:lstStyle/>
                <a:p>
                  <a:pPr>
                    <a:defRPr/>
                  </a:pPr>
                  <a:endParaRPr lang="es-MX"/>
                </a:p>
              </c:txPr>
              <c:showVal val="1"/>
            </c:dLbl>
            <c:showVal val="1"/>
          </c:dLbls>
          <c:cat>
            <c:strRef>
              <c:f>MIGRACIÓN!$B$5:$D$5</c:f>
              <c:strCache>
                <c:ptCount val="3"/>
                <c:pt idx="0">
                  <c:v>% Hogares con emigrantes en Estados Unidos del quinquenio anterior</c:v>
                </c:pt>
                <c:pt idx="1">
                  <c:v>% Hogares con migrantes circulares del quinquenio anterior</c:v>
                </c:pt>
                <c:pt idx="2">
                  <c:v>% Hogares con migrantes de retorno del quinquenio anterior</c:v>
                </c:pt>
              </c:strCache>
            </c:strRef>
          </c:cat>
          <c:val>
            <c:numRef>
              <c:f>MIGRACIÓN!$B$6:$D$6</c:f>
              <c:numCache>
                <c:formatCode>General</c:formatCode>
                <c:ptCount val="3"/>
                <c:pt idx="0">
                  <c:v>1056</c:v>
                </c:pt>
                <c:pt idx="1">
                  <c:v>196</c:v>
                </c:pt>
                <c:pt idx="2">
                  <c:v>76</c:v>
                </c:pt>
              </c:numCache>
            </c:numRef>
          </c:val>
        </c:ser>
        <c:dLbls>
          <c:showVal val="1"/>
        </c:dLbls>
        <c:shape val="box"/>
        <c:axId val="76354688"/>
        <c:axId val="76356224"/>
        <c:axId val="0"/>
      </c:bar3DChart>
      <c:catAx>
        <c:axId val="76354688"/>
        <c:scaling>
          <c:orientation val="minMax"/>
        </c:scaling>
        <c:axPos val="b"/>
        <c:numFmt formatCode="#,##0.00" sourceLinked="1"/>
        <c:majorTickMark val="none"/>
        <c:tickLblPos val="nextTo"/>
        <c:crossAx val="76356224"/>
        <c:crosses val="autoZero"/>
        <c:auto val="1"/>
        <c:lblAlgn val="ctr"/>
        <c:lblOffset val="100"/>
      </c:catAx>
      <c:valAx>
        <c:axId val="76356224"/>
        <c:scaling>
          <c:orientation val="minMax"/>
        </c:scaling>
        <c:delete val="1"/>
        <c:axPos val="l"/>
        <c:numFmt formatCode="General" sourceLinked="1"/>
        <c:tickLblPos val="none"/>
        <c:crossAx val="76354688"/>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PARTICIPACIÓN</a:t>
            </a:r>
            <a:r>
              <a:rPr lang="es-MX" sz="1100" b="0" baseline="0"/>
              <a:t> PORCENTUAL DE LOS MUNICIPIOS EN EL PRODUCTO INTERNO BRUTO ESTATAL. 2005</a:t>
            </a:r>
            <a:endParaRPr lang="es-MX" sz="11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sideWall>
      <c:spPr>
        <a:noFill/>
        <a:ln w="25400">
          <a:noFill/>
        </a:ln>
      </c:spPr>
    </c:sideWall>
    <c:backWall>
      <c:spPr>
        <a:noFill/>
        <a:ln w="25400">
          <a:noFill/>
        </a:ln>
      </c:spPr>
    </c:backWall>
    <c:plotArea>
      <c:layout>
        <c:manualLayout>
          <c:layoutTarget val="inner"/>
          <c:xMode val="edge"/>
          <c:yMode val="edge"/>
          <c:x val="0.36805751876941695"/>
          <c:y val="0.18316822845844596"/>
          <c:w val="0.5977784842630427"/>
          <c:h val="0.75038149659932585"/>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17"/>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numFmt formatCode="#,##0.0" sourceLinked="0"/>
            <c:showVal val="1"/>
          </c:dLbls>
          <c:cat>
            <c:strRef>
              <c:f>'El PIB Municipal '!$A$6:$A$25</c:f>
              <c:strCache>
                <c:ptCount val="20"/>
                <c:pt idx="0">
                  <c:v>ACAYUCAN</c:v>
                </c:pt>
                <c:pt idx="1">
                  <c:v>TIHUATLÁN</c:v>
                </c:pt>
                <c:pt idx="2">
                  <c:v>COATEPEC</c:v>
                </c:pt>
                <c:pt idx="3">
                  <c:v>TIERRA BLANCA</c:v>
                </c:pt>
                <c:pt idx="4">
                  <c:v>TANTOYUCA</c:v>
                </c:pt>
                <c:pt idx="5">
                  <c:v>PÁNUCO</c:v>
                </c:pt>
                <c:pt idx="6">
                  <c:v>MARTÍNEZ DE LA TORRE</c:v>
                </c:pt>
                <c:pt idx="7">
                  <c:v>TEMAPACHE</c:v>
                </c:pt>
                <c:pt idx="8">
                  <c:v>COSOLEACAQUE</c:v>
                </c:pt>
                <c:pt idx="9">
                  <c:v>ORIZABA</c:v>
                </c:pt>
                <c:pt idx="10">
                  <c:v>TÚXPAM</c:v>
                </c:pt>
                <c:pt idx="11">
                  <c:v>SAN ANDRÉS TUXTLA</c:v>
                </c:pt>
                <c:pt idx="12">
                  <c:v>PAPANTLA</c:v>
                </c:pt>
                <c:pt idx="13">
                  <c:v>BOCA DEL RÍO</c:v>
                </c:pt>
                <c:pt idx="14">
                  <c:v>MINATITLÁN</c:v>
                </c:pt>
                <c:pt idx="15">
                  <c:v>POZA RICA DE HIDALGO</c:v>
                </c:pt>
                <c:pt idx="16">
                  <c:v>CÓRDOBA</c:v>
                </c:pt>
                <c:pt idx="17">
                  <c:v>COATZACOALCOS</c:v>
                </c:pt>
                <c:pt idx="18">
                  <c:v>XALAPA</c:v>
                </c:pt>
                <c:pt idx="19">
                  <c:v>VERACRUZ</c:v>
                </c:pt>
              </c:strCache>
            </c:strRef>
          </c:cat>
          <c:val>
            <c:numRef>
              <c:f>'El PIB Municipal '!$G$6:$G$25</c:f>
              <c:numCache>
                <c:formatCode>_-* #,##0.00_-;\-* #,##0.00_-;_-* "-"??_-;_-@_-</c:formatCode>
                <c:ptCount val="20"/>
                <c:pt idx="0">
                  <c:v>1.1156167617888821</c:v>
                </c:pt>
                <c:pt idx="1">
                  <c:v>1.1182305559951897</c:v>
                </c:pt>
                <c:pt idx="2">
                  <c:v>1.171494330845015</c:v>
                </c:pt>
                <c:pt idx="3">
                  <c:v>1.2490231715943538</c:v>
                </c:pt>
                <c:pt idx="4">
                  <c:v>1.2556914339789538</c:v>
                </c:pt>
                <c:pt idx="5">
                  <c:v>1.2954334545488972</c:v>
                </c:pt>
                <c:pt idx="6">
                  <c:v>1.374999819915754</c:v>
                </c:pt>
                <c:pt idx="7">
                  <c:v>1.396959807460098</c:v>
                </c:pt>
                <c:pt idx="8">
                  <c:v>1.4897803733691592</c:v>
                </c:pt>
                <c:pt idx="9">
                  <c:v>1.8077782810989538</c:v>
                </c:pt>
                <c:pt idx="10">
                  <c:v>1.9579582521496157</c:v>
                </c:pt>
                <c:pt idx="11">
                  <c:v>2.0317413405718283</c:v>
                </c:pt>
                <c:pt idx="12">
                  <c:v>2.1531489942963717</c:v>
                </c:pt>
                <c:pt idx="13">
                  <c:v>2.1871283189784458</c:v>
                </c:pt>
                <c:pt idx="14">
                  <c:v>2.199024169775607</c:v>
                </c:pt>
                <c:pt idx="15">
                  <c:v>2.6810325186871413</c:v>
                </c:pt>
                <c:pt idx="16">
                  <c:v>2.7525928529810852</c:v>
                </c:pt>
                <c:pt idx="17">
                  <c:v>4.1146883503191845</c:v>
                </c:pt>
                <c:pt idx="18">
                  <c:v>6.1117094481662955</c:v>
                </c:pt>
                <c:pt idx="19">
                  <c:v>7.6330405815218834</c:v>
                </c:pt>
              </c:numCache>
            </c:numRef>
          </c:val>
        </c:ser>
        <c:dLbls>
          <c:showVal val="1"/>
        </c:dLbls>
        <c:gapWidth val="170"/>
        <c:shape val="box"/>
        <c:axId val="76385280"/>
        <c:axId val="76399360"/>
        <c:axId val="0"/>
      </c:bar3DChart>
      <c:catAx>
        <c:axId val="76385280"/>
        <c:scaling>
          <c:orientation val="minMax"/>
        </c:scaling>
        <c:axPos val="l"/>
        <c:numFmt formatCode="General" sourceLinked="1"/>
        <c:majorTickMark val="none"/>
        <c:tickLblPos val="nextTo"/>
        <c:txPr>
          <a:bodyPr/>
          <a:lstStyle/>
          <a:p>
            <a:pPr>
              <a:defRPr sz="900"/>
            </a:pPr>
            <a:endParaRPr lang="es-MX"/>
          </a:p>
        </c:txPr>
        <c:crossAx val="76399360"/>
        <c:crosses val="autoZero"/>
        <c:auto val="1"/>
        <c:lblAlgn val="ctr"/>
        <c:lblOffset val="100"/>
      </c:catAx>
      <c:valAx>
        <c:axId val="76399360"/>
        <c:scaling>
          <c:orientation val="minMax"/>
        </c:scaling>
        <c:delete val="1"/>
        <c:axPos val="b"/>
        <c:numFmt formatCode="_-* #,##0.00_-;\-* #,##0.00_-;_-* &quot;-&quot;??_-;_-@_-" sourceLinked="1"/>
        <c:tickLblPos val="none"/>
        <c:crossAx val="76385280"/>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COATZACOALCOS. EMPRESAS POR SECTOR DE ACTIVIDAD</a:t>
            </a:r>
            <a:r>
              <a:rPr lang="es-MX" sz="1100" b="0" baseline="0"/>
              <a:t> (%)</a:t>
            </a:r>
            <a:endParaRPr lang="es-MX" sz="11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c:spPr>
    </c:title>
    <c:view3D>
      <c:rotX val="30"/>
      <c:perspective val="30"/>
    </c:view3D>
    <c:plotArea>
      <c:layout>
        <c:manualLayout>
          <c:layoutTarget val="inner"/>
          <c:xMode val="edge"/>
          <c:yMode val="edge"/>
          <c:x val="0.16540160889270294"/>
          <c:y val="0.31708997710463777"/>
          <c:w val="0.6644106542976036"/>
          <c:h val="0.53759862533451364"/>
        </c:manualLayout>
      </c:layout>
      <c:pie3DChart>
        <c:varyColors val="1"/>
        <c:ser>
          <c:idx val="0"/>
          <c:order val="0"/>
          <c:explosion val="25"/>
          <c:dPt>
            <c:idx val="0"/>
            <c:spPr>
              <a:solidFill>
                <a:srgbClr val="008000"/>
              </a:solidFill>
            </c:spPr>
          </c:dPt>
          <c:dPt>
            <c:idx val="1"/>
            <c:spPr>
              <a:solidFill>
                <a:srgbClr val="FFC000"/>
              </a:solidFill>
            </c:spPr>
          </c:dPt>
          <c:dPt>
            <c:idx val="2"/>
            <c:spPr>
              <a:solidFill>
                <a:srgbClr val="F97817"/>
              </a:solidFill>
            </c:spPr>
          </c:dPt>
          <c:dPt>
            <c:idx val="3"/>
            <c:spPr>
              <a:solidFill>
                <a:schemeClr val="accent4">
                  <a:lumMod val="75000"/>
                </a:schemeClr>
              </a:solidFill>
            </c:spPr>
          </c:dPt>
          <c:dLbls>
            <c:dLbl>
              <c:idx val="0"/>
              <c:tx>
                <c:rich>
                  <a:bodyPr/>
                  <a:lstStyle/>
                  <a:p>
                    <a:r>
                      <a:rPr lang="en-US" sz="800"/>
                      <a:t>Servicios
40.5%</a:t>
                    </a:r>
                  </a:p>
                </c:rich>
              </c:tx>
              <c:showCatName val="1"/>
              <c:showPercent val="1"/>
            </c:dLbl>
            <c:dLbl>
              <c:idx val="2"/>
              <c:tx>
                <c:rich>
                  <a:bodyPr/>
                  <a:lstStyle/>
                  <a:p>
                    <a:r>
                      <a:rPr lang="en-US" sz="800"/>
                      <a:t>Comercio
48.2%</a:t>
                    </a:r>
                  </a:p>
                </c:rich>
              </c:tx>
              <c:showCatName val="1"/>
              <c:showPercent val="1"/>
            </c:dLbl>
            <c:dLbl>
              <c:idx val="5"/>
              <c:layout>
                <c:manualLayout>
                  <c:x val="0.24074543753877525"/>
                  <c:y val="3.0644763369910451E-2"/>
                </c:manualLayout>
              </c:layout>
              <c:tx>
                <c:rich>
                  <a:bodyPr/>
                  <a:lstStyle/>
                  <a:p>
                    <a:r>
                      <a:rPr lang="en-US" sz="800"/>
                      <a:t>Agropecuario
0.8%</a:t>
                    </a:r>
                  </a:p>
                </c:rich>
              </c:tx>
              <c:showCatName val="1"/>
              <c:showPercent val="1"/>
            </c:dLbl>
            <c:numFmt formatCode="0.0%" sourceLinked="0"/>
            <c:txPr>
              <a:bodyPr/>
              <a:lstStyle/>
              <a:p>
                <a:pPr>
                  <a:defRPr sz="800"/>
                </a:pPr>
                <a:endParaRPr lang="es-MX"/>
              </a:p>
            </c:txPr>
            <c:showCatName val="1"/>
            <c:showPercent val="1"/>
            <c:showLeaderLines val="1"/>
          </c:dLbls>
          <c:cat>
            <c:strRef>
              <c:f>'La estructura económica'!$A$20:$A$25</c:f>
              <c:strCache>
                <c:ptCount val="6"/>
                <c:pt idx="0">
                  <c:v>Servicios</c:v>
                </c:pt>
                <c:pt idx="1">
                  <c:v>Trasportes, correos, almacenamiento e información </c:v>
                </c:pt>
                <c:pt idx="2">
                  <c:v>Comercio</c:v>
                </c:pt>
                <c:pt idx="3">
                  <c:v>Industria manufacturera</c:v>
                </c:pt>
                <c:pt idx="4">
                  <c:v>Construcción</c:v>
                </c:pt>
                <c:pt idx="5">
                  <c:v>Agricultura, ganadería, forestal, pesca y caza</c:v>
                </c:pt>
              </c:strCache>
            </c:strRef>
          </c:cat>
          <c:val>
            <c:numRef>
              <c:f>'La estructura económica'!$B$20:$B$25</c:f>
              <c:numCache>
                <c:formatCode>General</c:formatCode>
                <c:ptCount val="6"/>
                <c:pt idx="0" formatCode="0.0">
                  <c:v>40.515201165119244</c:v>
                </c:pt>
                <c:pt idx="1">
                  <c:v>1.4</c:v>
                </c:pt>
                <c:pt idx="2" formatCode="0.0">
                  <c:v>48.152193701074111</c:v>
                </c:pt>
                <c:pt idx="3">
                  <c:v>7.8</c:v>
                </c:pt>
                <c:pt idx="4">
                  <c:v>0.9</c:v>
                </c:pt>
                <c:pt idx="5">
                  <c:v>0.8</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COATZACOALCOS.</a:t>
            </a:r>
            <a:r>
              <a:rPr lang="es-MX" sz="1100" b="0" baseline="0"/>
              <a:t> EMPRESAS POR SECTOR DE ACTIVIDAD. 2005 (%)</a:t>
            </a:r>
            <a:endParaRPr lang="es-MX" sz="11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manualLayout>
          <c:layoutTarget val="inner"/>
          <c:xMode val="edge"/>
          <c:yMode val="edge"/>
          <c:x val="0.46807489818483988"/>
          <c:y val="0.2183259013515467"/>
          <c:w val="0.51495219520712998"/>
          <c:h val="0.70589572949443868"/>
        </c:manualLayout>
      </c:layout>
      <c:bar3DChart>
        <c:barDir val="bar"/>
        <c:grouping val="clustered"/>
        <c:ser>
          <c:idx val="0"/>
          <c:order val="0"/>
          <c:spPr>
            <a:solidFill>
              <a:schemeClr val="accent3"/>
            </a:solidFill>
            <a:effectLst>
              <a:outerShdw blurRad="50800" dist="38100" dir="600000" algn="tl" rotWithShape="0">
                <a:prstClr val="black">
                  <a:alpha val="40000"/>
                </a:prstClr>
              </a:outerShdw>
            </a:effectLst>
            <a:scene3d>
              <a:camera prst="orthographicFront"/>
              <a:lightRig rig="threePt" dir="t"/>
            </a:scene3d>
            <a:sp3d>
              <a:bevelT/>
            </a:sp3d>
          </c:spPr>
          <c:dLbls>
            <c:dLbl>
              <c:idx val="0"/>
              <c:layout>
                <c:manualLayout>
                  <c:x val="-9.4896812746521949E-3"/>
                  <c:y val="-3.7348857622854178E-3"/>
                </c:manualLayout>
              </c:layout>
              <c:showVal val="1"/>
            </c:dLbl>
            <c:showVal val="1"/>
          </c:dLbls>
          <c:cat>
            <c:strRef>
              <c:f>'La estructura económica'!$F$3:$F$15</c:f>
              <c:strCache>
                <c:ptCount val="13"/>
                <c:pt idx="0">
                  <c:v>Comercio- menudeo</c:v>
                </c:pt>
                <c:pt idx="1">
                  <c:v>Otros Servicios Excepto actividades del Gobierno (servicios técnicos)</c:v>
                </c:pt>
                <c:pt idx="2">
                  <c:v>Servicios de alojamiento temporal y preparación de alimentos y bebidas</c:v>
                </c:pt>
                <c:pt idx="3">
                  <c:v>Industria Manufacturera</c:v>
                </c:pt>
                <c:pt idx="4">
                  <c:v>Servicios profesionales, científicos y técnicos, y otros </c:v>
                </c:pt>
                <c:pt idx="5">
                  <c:v>Servicios de salud y de asistencia social</c:v>
                </c:pt>
                <c:pt idx="6">
                  <c:v>Comercio- mayoreo</c:v>
                </c:pt>
                <c:pt idx="7">
                  <c:v>Servicios financieros, seguros, servicios inmobiliarios y de alquiler</c:v>
                </c:pt>
                <c:pt idx="8">
                  <c:v>Servicios educativos</c:v>
                </c:pt>
                <c:pt idx="9">
                  <c:v>Trasportes, correos, almacenamiento e información </c:v>
                </c:pt>
                <c:pt idx="10">
                  <c:v>Servicios de esparcimiento culturales y deportivos, y recreativos</c:v>
                </c:pt>
                <c:pt idx="11">
                  <c:v>Construcción</c:v>
                </c:pt>
                <c:pt idx="12">
                  <c:v>Agricultura, ganadería, forestal, pesca y caza</c:v>
                </c:pt>
              </c:strCache>
            </c:strRef>
          </c:cat>
          <c:val>
            <c:numRef>
              <c:f>'La estructura económica'!$E$3:$E$15</c:f>
              <c:numCache>
                <c:formatCode>0.0</c:formatCode>
                <c:ptCount val="13"/>
                <c:pt idx="0">
                  <c:v>44.766065902057363</c:v>
                </c:pt>
                <c:pt idx="1">
                  <c:v>13.662843619151674</c:v>
                </c:pt>
                <c:pt idx="2">
                  <c:v>10.304023302384849</c:v>
                </c:pt>
                <c:pt idx="3">
                  <c:v>7.8463498998725933</c:v>
                </c:pt>
                <c:pt idx="4">
                  <c:v>6.2898234116149423</c:v>
                </c:pt>
                <c:pt idx="5">
                  <c:v>4.1416348079373746</c:v>
                </c:pt>
                <c:pt idx="6">
                  <c:v>3.3861277990169412</c:v>
                </c:pt>
                <c:pt idx="7">
                  <c:v>3.3133078463498999</c:v>
                </c:pt>
                <c:pt idx="8">
                  <c:v>1.7749863462588751</c:v>
                </c:pt>
                <c:pt idx="9">
                  <c:v>1.4472965592572358</c:v>
                </c:pt>
                <c:pt idx="10">
                  <c:v>1.0285818314218356</c:v>
                </c:pt>
                <c:pt idx="11">
                  <c:v>0.85563444383761167</c:v>
                </c:pt>
                <c:pt idx="12">
                  <c:v>0.76460950300384656</c:v>
                </c:pt>
              </c:numCache>
            </c:numRef>
          </c:val>
        </c:ser>
        <c:dLbls>
          <c:showVal val="1"/>
        </c:dLbls>
        <c:gapWidth val="160"/>
        <c:shape val="box"/>
        <c:axId val="76477184"/>
        <c:axId val="76478720"/>
        <c:axId val="0"/>
      </c:bar3DChart>
      <c:catAx>
        <c:axId val="76477184"/>
        <c:scaling>
          <c:orientation val="minMax"/>
        </c:scaling>
        <c:axPos val="l"/>
        <c:numFmt formatCode="General" sourceLinked="1"/>
        <c:majorTickMark val="none"/>
        <c:tickLblPos val="nextTo"/>
        <c:txPr>
          <a:bodyPr/>
          <a:lstStyle/>
          <a:p>
            <a:pPr>
              <a:defRPr sz="700"/>
            </a:pPr>
            <a:endParaRPr lang="es-MX"/>
          </a:p>
        </c:txPr>
        <c:crossAx val="76478720"/>
        <c:crosses val="autoZero"/>
        <c:auto val="1"/>
        <c:lblAlgn val="ctr"/>
        <c:lblOffset val="100"/>
      </c:catAx>
      <c:valAx>
        <c:axId val="76478720"/>
        <c:scaling>
          <c:orientation val="minMax"/>
        </c:scaling>
        <c:delete val="1"/>
        <c:axPos val="b"/>
        <c:numFmt formatCode="0.0" sourceLinked="1"/>
        <c:tickLblPos val="none"/>
        <c:crossAx val="76477184"/>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es-MX" sz="1200" b="0" i="0" baseline="0"/>
              <a:t>COATZACOALCOS. POBLACION OCUPADA POR SECTOR DE ACTIVIDAD. 2003 (Participación porcentual)</a:t>
            </a:r>
          </a:p>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endParaRPr lang="es-MX" sz="1200"/>
          </a:p>
        </c:rich>
      </c:tx>
      <c:layout>
        <c:manualLayout>
          <c:xMode val="edge"/>
          <c:yMode val="edge"/>
          <c:x val="0.1489272920205599"/>
          <c:y val="2.5078369905956112E-2"/>
        </c:manualLayout>
      </c:layout>
      <c:spPr>
        <a:noFill/>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9.30702008415243E-2"/>
          <c:y val="0.32701096080866227"/>
          <c:w val="0.8115080408452513"/>
          <c:h val="0.60397414653433179"/>
        </c:manualLayout>
      </c:layout>
      <c:pie3DChart>
        <c:varyColors val="1"/>
        <c:ser>
          <c:idx val="0"/>
          <c:order val="0"/>
          <c:explosion val="25"/>
          <c:dPt>
            <c:idx val="0"/>
            <c:spPr>
              <a:solidFill>
                <a:srgbClr val="008000"/>
              </a:solidFill>
            </c:spPr>
          </c:dPt>
          <c:dPt>
            <c:idx val="1"/>
            <c:spPr>
              <a:solidFill>
                <a:srgbClr val="F97817"/>
              </a:solidFill>
            </c:spPr>
          </c:dPt>
          <c:dPt>
            <c:idx val="2"/>
            <c:spPr>
              <a:solidFill>
                <a:schemeClr val="tx2">
                  <a:lumMod val="75000"/>
                </a:schemeClr>
              </a:solidFill>
            </c:spPr>
          </c:dPt>
          <c:dPt>
            <c:idx val="3"/>
            <c:spPr>
              <a:solidFill>
                <a:srgbClr val="FFFF00"/>
              </a:solidFill>
            </c:spPr>
          </c:dPt>
          <c:dPt>
            <c:idx val="4"/>
            <c:spPr>
              <a:solidFill>
                <a:srgbClr val="7030A0"/>
              </a:solidFill>
            </c:spPr>
          </c:dPt>
          <c:dPt>
            <c:idx val="5"/>
            <c:spPr>
              <a:solidFill>
                <a:srgbClr val="C00000"/>
              </a:solidFill>
            </c:spPr>
          </c:dPt>
          <c:dPt>
            <c:idx val="6"/>
            <c:spPr>
              <a:solidFill>
                <a:schemeClr val="tx1">
                  <a:lumMod val="65000"/>
                  <a:lumOff val="35000"/>
                </a:schemeClr>
              </a:solidFill>
            </c:spPr>
          </c:dPt>
          <c:dLbls>
            <c:dLbl>
              <c:idx val="0"/>
              <c:layout>
                <c:manualLayout>
                  <c:x val="-0.12909800550893999"/>
                  <c:y val="6.0663280183490334E-2"/>
                </c:manualLayout>
              </c:layout>
              <c:showCatName val="1"/>
              <c:showPercent val="1"/>
            </c:dLbl>
            <c:dLbl>
              <c:idx val="2"/>
              <c:layout>
                <c:manualLayout>
                  <c:x val="-2.0800544228166996E-2"/>
                  <c:y val="3.3292967004091151E-2"/>
                </c:manualLayout>
              </c:layout>
              <c:showCatName val="1"/>
              <c:showPercent val="1"/>
            </c:dLbl>
            <c:dLbl>
              <c:idx val="3"/>
              <c:layout>
                <c:manualLayout>
                  <c:x val="0.12547929185161291"/>
                  <c:y val="-0.13637639422378137"/>
                </c:manualLayout>
              </c:layout>
              <c:showCatName val="1"/>
              <c:showPercent val="1"/>
            </c:dLbl>
            <c:dLbl>
              <c:idx val="4"/>
              <c:layout>
                <c:manualLayout>
                  <c:x val="0.168192185570845"/>
                  <c:y val="5.754310756812539E-2"/>
                </c:manualLayout>
              </c:layout>
              <c:showCatName val="1"/>
              <c:showPercent val="1"/>
            </c:dLbl>
            <c:dLbl>
              <c:idx val="5"/>
              <c:layout>
                <c:manualLayout>
                  <c:x val="-0.10920855092955128"/>
                  <c:y val="7.8902165308159147E-2"/>
                </c:manualLayout>
              </c:layout>
              <c:showCatName val="1"/>
              <c:showPercent val="1"/>
            </c:dLbl>
            <c:dLbl>
              <c:idx val="6"/>
              <c:layout>
                <c:manualLayout>
                  <c:x val="0.30124488119635706"/>
                  <c:y val="6.8102478083996193E-2"/>
                </c:manualLayout>
              </c:layout>
              <c:showCatName val="1"/>
              <c:showPercent val="1"/>
            </c:dLbl>
            <c:txPr>
              <a:bodyPr/>
              <a:lstStyle/>
              <a:p>
                <a:pPr>
                  <a:defRPr sz="800"/>
                </a:pPr>
                <a:endParaRPr lang="es-MX"/>
              </a:p>
            </c:txPr>
            <c:showCatName val="1"/>
            <c:showPercent val="1"/>
            <c:showLeaderLines val="1"/>
          </c:dLbls>
          <c:cat>
            <c:strRef>
              <c:f>'Censo Eco'!$D$2:$D$8</c:f>
              <c:strCache>
                <c:ptCount val="7"/>
                <c:pt idx="0">
                  <c:v>Servicios</c:v>
                </c:pt>
                <c:pt idx="1">
                  <c:v>Comercio</c:v>
                </c:pt>
                <c:pt idx="2">
                  <c:v>Electricidad, Agua y Gas</c:v>
                </c:pt>
                <c:pt idx="3">
                  <c:v>Construcción</c:v>
                </c:pt>
                <c:pt idx="4">
                  <c:v>Industria manufacturera</c:v>
                </c:pt>
                <c:pt idx="5">
                  <c:v>Transportes, correos, almacenamiento e información.</c:v>
                </c:pt>
                <c:pt idx="6">
                  <c:v>Agricultura, ganadería, forestal, pesca y caza</c:v>
                </c:pt>
              </c:strCache>
            </c:strRef>
          </c:cat>
          <c:val>
            <c:numRef>
              <c:f>'Censo Eco'!$E$2:$E$8</c:f>
              <c:numCache>
                <c:formatCode>0</c:formatCode>
                <c:ptCount val="7"/>
                <c:pt idx="0">
                  <c:v>29.855580648995588</c:v>
                </c:pt>
                <c:pt idx="1">
                  <c:v>30.383038155235926</c:v>
                </c:pt>
                <c:pt idx="2">
                  <c:v>0.704267205515274</c:v>
                </c:pt>
                <c:pt idx="3">
                  <c:v>8.2803399500772628</c:v>
                </c:pt>
                <c:pt idx="4">
                  <c:v>24.633008439320101</c:v>
                </c:pt>
                <c:pt idx="5">
                  <c:v>5.3533222393914155</c:v>
                </c:pt>
                <c:pt idx="6">
                  <c:v>0.71912516343753763</c:v>
                </c:pt>
              </c:numCache>
            </c:numRef>
          </c:val>
        </c:ser>
        <c:dLbls>
          <c:showCatName val="1"/>
          <c:showPercent val="1"/>
        </c:dLbls>
      </c:pie3DChart>
    </c:plotArea>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1"/>
              <a:t>COATZACOALCOS.</a:t>
            </a:r>
            <a:r>
              <a:rPr lang="es-MX" sz="1100" b="1" baseline="0"/>
              <a:t> </a:t>
            </a:r>
            <a:r>
              <a:rPr lang="es-MX" sz="1100" b="1"/>
              <a:t>POBLACIÓN</a:t>
            </a:r>
            <a:r>
              <a:rPr lang="es-MX" sz="1100" b="1" baseline="0"/>
              <a:t> OCUPADA POR SECTOR DE ACTIVIDAD</a:t>
            </a:r>
          </a:p>
          <a:p>
            <a:pPr>
              <a:defRPr/>
            </a:pPr>
            <a:r>
              <a:rPr lang="es-MX" sz="1100" b="1" baseline="0"/>
              <a:t>(Participación porcentual)</a:t>
            </a:r>
            <a:endParaRPr lang="es-MX" sz="1100" b="1"/>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4622932825861118"/>
          <c:y val="0.29076364597820858"/>
          <c:w val="0.67812292302566035"/>
          <c:h val="0.568755387502209"/>
        </c:manualLayout>
      </c:layout>
      <c:pie3DChart>
        <c:varyColors val="1"/>
        <c:ser>
          <c:idx val="0"/>
          <c:order val="0"/>
          <c:explosion val="25"/>
          <c:dPt>
            <c:idx val="0"/>
            <c:spPr>
              <a:solidFill>
                <a:srgbClr val="92D050"/>
              </a:solidFill>
            </c:spPr>
          </c:dPt>
          <c:dPt>
            <c:idx val="1"/>
            <c:spPr>
              <a:solidFill>
                <a:srgbClr val="D60093"/>
              </a:solidFill>
            </c:spPr>
          </c:dPt>
          <c:dPt>
            <c:idx val="2"/>
            <c:spPr>
              <a:solidFill>
                <a:srgbClr val="7030A0"/>
              </a:solidFill>
            </c:spPr>
          </c:dPt>
          <c:dPt>
            <c:idx val="3"/>
            <c:spPr>
              <a:solidFill>
                <a:srgbClr val="FFFF00"/>
              </a:solidFill>
            </c:spPr>
          </c:dPt>
          <c:dPt>
            <c:idx val="4"/>
            <c:spPr>
              <a:solidFill>
                <a:schemeClr val="tx2"/>
              </a:solidFill>
            </c:spPr>
          </c:dPt>
          <c:dPt>
            <c:idx val="5"/>
            <c:spPr>
              <a:solidFill>
                <a:srgbClr val="F97817"/>
              </a:solidFill>
            </c:spPr>
          </c:dPt>
          <c:dPt>
            <c:idx val="6"/>
            <c:spPr>
              <a:solidFill>
                <a:srgbClr val="C00000"/>
              </a:solidFill>
            </c:spPr>
          </c:dPt>
          <c:dPt>
            <c:idx val="7"/>
            <c:spPr>
              <a:solidFill>
                <a:srgbClr val="FF9900"/>
              </a:solidFill>
            </c:spPr>
          </c:dPt>
          <c:dPt>
            <c:idx val="8"/>
            <c:spPr>
              <a:solidFill>
                <a:srgbClr val="008000"/>
              </a:solidFill>
            </c:spPr>
          </c:dPt>
          <c:dLbls>
            <c:dLbl>
              <c:idx val="0"/>
              <c:layout>
                <c:manualLayout>
                  <c:x val="-6.3664865557771746E-2"/>
                  <c:y val="-3.7483447311271255E-2"/>
                </c:manualLayout>
              </c:layout>
              <c:spPr/>
              <c:txPr>
                <a:bodyPr/>
                <a:lstStyle/>
                <a:p>
                  <a:pPr>
                    <a:defRPr sz="900"/>
                  </a:pPr>
                  <a:endParaRPr lang="es-MX"/>
                </a:p>
              </c:txPr>
              <c:showCatName val="1"/>
              <c:showPercent val="1"/>
            </c:dLbl>
            <c:dLbl>
              <c:idx val="1"/>
              <c:layout>
                <c:manualLayout>
                  <c:x val="1.0386097361506677E-2"/>
                  <c:y val="-3.2267614566080002E-2"/>
                </c:manualLayout>
              </c:layout>
              <c:spPr/>
              <c:txPr>
                <a:bodyPr/>
                <a:lstStyle/>
                <a:p>
                  <a:pPr>
                    <a:defRPr sz="900"/>
                  </a:pPr>
                  <a:endParaRPr lang="es-MX"/>
                </a:p>
              </c:txPr>
              <c:showCatName val="1"/>
              <c:showPercent val="1"/>
            </c:dLbl>
            <c:dLbl>
              <c:idx val="2"/>
              <c:spPr/>
              <c:txPr>
                <a:bodyPr/>
                <a:lstStyle/>
                <a:p>
                  <a:pPr>
                    <a:defRPr sz="900"/>
                  </a:pPr>
                  <a:endParaRPr lang="es-MX"/>
                </a:p>
              </c:txPr>
            </c:dLbl>
            <c:dLbl>
              <c:idx val="3"/>
              <c:layout>
                <c:manualLayout>
                  <c:x val="1.3146946503543478E-3"/>
                  <c:y val="-0.15953370449531828"/>
                </c:manualLayout>
              </c:layout>
              <c:spPr/>
              <c:txPr>
                <a:bodyPr/>
                <a:lstStyle/>
                <a:p>
                  <a:pPr>
                    <a:defRPr sz="900"/>
                  </a:pPr>
                  <a:endParaRPr lang="es-MX"/>
                </a:p>
              </c:txPr>
              <c:showCatName val="1"/>
              <c:showPercent val="1"/>
            </c:dLbl>
            <c:dLbl>
              <c:idx val="4"/>
              <c:layout>
                <c:manualLayout>
                  <c:x val="-2.3623602950474682E-2"/>
                  <c:y val="7.929657693976129E-2"/>
                </c:manualLayout>
              </c:layout>
              <c:spPr/>
              <c:txPr>
                <a:bodyPr/>
                <a:lstStyle/>
                <a:p>
                  <a:pPr>
                    <a:defRPr sz="900"/>
                  </a:pPr>
                  <a:endParaRPr lang="es-MX"/>
                </a:p>
              </c:txPr>
              <c:showCatName val="1"/>
              <c:showPercent val="1"/>
            </c:dLbl>
            <c:dLbl>
              <c:idx val="5"/>
              <c:spPr/>
              <c:txPr>
                <a:bodyPr/>
                <a:lstStyle/>
                <a:p>
                  <a:pPr>
                    <a:defRPr sz="900"/>
                  </a:pPr>
                  <a:endParaRPr lang="es-MX"/>
                </a:p>
              </c:txPr>
            </c:dLbl>
            <c:dLbl>
              <c:idx val="6"/>
              <c:spPr/>
              <c:txPr>
                <a:bodyPr/>
                <a:lstStyle/>
                <a:p>
                  <a:pPr>
                    <a:defRPr sz="900"/>
                  </a:pPr>
                  <a:endParaRPr lang="es-MX"/>
                </a:p>
              </c:txPr>
            </c:dLbl>
            <c:dLbl>
              <c:idx val="7"/>
              <c:layout>
                <c:manualLayout>
                  <c:x val="-5.755843081988482E-3"/>
                  <c:y val="-8.6177628065915834E-2"/>
                </c:manualLayout>
              </c:layout>
              <c:spPr/>
              <c:txPr>
                <a:bodyPr/>
                <a:lstStyle/>
                <a:p>
                  <a:pPr>
                    <a:defRPr sz="900"/>
                  </a:pPr>
                  <a:endParaRPr lang="es-MX"/>
                </a:p>
              </c:txPr>
              <c:showCatName val="1"/>
              <c:showPercent val="1"/>
            </c:dLbl>
            <c:dLbl>
              <c:idx val="8"/>
              <c:layout>
                <c:manualLayout>
                  <c:x val="-3.1878722810861612E-2"/>
                  <c:y val="-4.0951602443427382E-2"/>
                </c:manualLayout>
              </c:layout>
              <c:spPr/>
              <c:txPr>
                <a:bodyPr/>
                <a:lstStyle/>
                <a:p>
                  <a:pPr>
                    <a:defRPr sz="900"/>
                  </a:pPr>
                  <a:endParaRPr lang="es-MX"/>
                </a:p>
              </c:txPr>
              <c:dLblPos val="bestFit"/>
              <c:showCatName val="1"/>
              <c:showPercent val="1"/>
            </c:dLbl>
            <c:showCatName val="1"/>
            <c:showPercent val="1"/>
            <c:showLeaderLines val="1"/>
          </c:dLbls>
          <c:cat>
            <c:strRef>
              <c:f>'El empleo sectorial'!$D$2:$L$2</c:f>
              <c:strCache>
                <c:ptCount val="9"/>
                <c:pt idx="0">
                  <c:v>Agropecuario</c:v>
                </c:pt>
                <c:pt idx="1">
                  <c:v>Mineria</c:v>
                </c:pt>
                <c:pt idx="2">
                  <c:v> Manufacturas</c:v>
                </c:pt>
                <c:pt idx="3">
                  <c:v> Construcción</c:v>
                </c:pt>
                <c:pt idx="4">
                  <c:v>Electricidad, Agua y Gas</c:v>
                </c:pt>
                <c:pt idx="5">
                  <c:v> Comercio, Restaurantes y Hoteles</c:v>
                </c:pt>
                <c:pt idx="6">
                  <c:v> Transporte, Almacenaje y Comunicaciones</c:v>
                </c:pt>
                <c:pt idx="7">
                  <c:v> Servicios Financieros, seg. y serv. Inmb.</c:v>
                </c:pt>
                <c:pt idx="8">
                  <c:v> Servicios Comunales, Sociales y Personales</c:v>
                </c:pt>
              </c:strCache>
            </c:strRef>
          </c:cat>
          <c:val>
            <c:numRef>
              <c:f>'El empleo sectorial'!$D$4:$L$4</c:f>
              <c:numCache>
                <c:formatCode>0</c:formatCode>
                <c:ptCount val="9"/>
                <c:pt idx="0">
                  <c:v>1.4237103304825458</c:v>
                </c:pt>
                <c:pt idx="1">
                  <c:v>1.8457748114340993</c:v>
                </c:pt>
                <c:pt idx="2">
                  <c:v>16.739198481375649</c:v>
                </c:pt>
                <c:pt idx="3">
                  <c:v>9.3803326029665701</c:v>
                </c:pt>
                <c:pt idx="4">
                  <c:v>0.58563971041126039</c:v>
                </c:pt>
                <c:pt idx="5">
                  <c:v>27.401880105415191</c:v>
                </c:pt>
                <c:pt idx="6">
                  <c:v>7.5184022133142152</c:v>
                </c:pt>
                <c:pt idx="7">
                  <c:v>1.2974948756525226</c:v>
                </c:pt>
                <c:pt idx="8">
                  <c:v>30.500721952401626</c:v>
                </c:pt>
              </c:numCache>
            </c:numRef>
          </c:val>
        </c:ser>
        <c:dLbls>
          <c:showCatName val="1"/>
          <c:showPercent val="1"/>
        </c:dLbls>
      </c:pie3DChart>
      <c:spPr>
        <a:noFill/>
        <a:ln w="25400">
          <a:noFill/>
        </a:ln>
      </c:spPr>
    </c:plotArea>
    <c:plotVisOnly val="1"/>
    <c:dispBlanksAs val="zero"/>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400" b="0"/>
              <a:t>COATZACOALCOS.</a:t>
            </a:r>
            <a:r>
              <a:rPr lang="es-MX" sz="1400" b="0" baseline="0"/>
              <a:t> POBLACIÓN OCUPADA POR GRAN SECTOR DE ACTIVIDAD. 2000 (%)</a:t>
            </a:r>
            <a:endParaRPr lang="es-MX" sz="14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9.3055555555556738E-2"/>
          <c:y val="0.3286165791776085"/>
          <c:w val="0.81388888888889266"/>
          <c:h val="0.59822980460775732"/>
        </c:manualLayout>
      </c:layout>
      <c:pie3DChart>
        <c:varyColors val="1"/>
        <c:ser>
          <c:idx val="0"/>
          <c:order val="0"/>
          <c:explosion val="17"/>
          <c:dLbls>
            <c:dLbl>
              <c:idx val="1"/>
              <c:layout>
                <c:manualLayout>
                  <c:x val="-0.22062860892388281"/>
                  <c:y val="-0.17199876057159677"/>
                </c:manualLayout>
              </c:layout>
              <c:showCatName val="1"/>
              <c:showPercent val="1"/>
            </c:dLbl>
            <c:showCatName val="1"/>
            <c:showPercent val="1"/>
            <c:showLeaderLines val="1"/>
          </c:dLbls>
          <c:cat>
            <c:strRef>
              <c:f>'Censo Eco'!$A$20:$A$22</c:f>
              <c:strCache>
                <c:ptCount val="3"/>
                <c:pt idx="0">
                  <c:v>Sector primario</c:v>
                </c:pt>
                <c:pt idx="1">
                  <c:v>Sector secundario</c:v>
                </c:pt>
                <c:pt idx="2">
                  <c:v>Sector terciario</c:v>
                </c:pt>
              </c:strCache>
            </c:strRef>
          </c:cat>
          <c:val>
            <c:numRef>
              <c:f>'Censo Eco'!$B$20:$B$22</c:f>
              <c:numCache>
                <c:formatCode>#,##0</c:formatCode>
                <c:ptCount val="3"/>
                <c:pt idx="0">
                  <c:v>1</c:v>
                </c:pt>
                <c:pt idx="1">
                  <c:v>63</c:v>
                </c:pt>
                <c:pt idx="2">
                  <c:v>36</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a:scene3d>
      <a:camera prst="orthographicFront"/>
      <a:lightRig rig="threePt" dir="t"/>
    </a:scene3d>
    <a:sp3d/>
  </c:spPr>
  <c:externalData r:id="rId1"/>
</c:chartSpace>
</file>

<file path=word/charts/chart3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COATZACOALCOS.</a:t>
            </a:r>
            <a:r>
              <a:rPr lang="es-MX" sz="1100" baseline="0"/>
              <a:t> PARTICIPACIÓN EN EL PIB MUNICIPAL POR SECTOR DE ACTIVIDAD. 2000</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5985386787386024"/>
          <c:y val="0.29058328259687838"/>
          <c:w val="0.62489142341851267"/>
          <c:h val="0.56892206284545099"/>
        </c:manualLayout>
      </c:layout>
      <c:pie3DChart>
        <c:varyColors val="1"/>
        <c:ser>
          <c:idx val="0"/>
          <c:order val="0"/>
          <c:explosion val="25"/>
          <c:dPt>
            <c:idx val="0"/>
            <c:spPr>
              <a:solidFill>
                <a:srgbClr val="00B050"/>
              </a:solidFill>
            </c:spPr>
          </c:dPt>
          <c:dPt>
            <c:idx val="1"/>
            <c:spPr>
              <a:solidFill>
                <a:srgbClr val="D60093"/>
              </a:solidFill>
            </c:spPr>
          </c:dPt>
          <c:dPt>
            <c:idx val="2"/>
            <c:spPr>
              <a:solidFill>
                <a:srgbClr val="7030A0"/>
              </a:solidFill>
            </c:spPr>
          </c:dPt>
          <c:dPt>
            <c:idx val="3"/>
            <c:spPr>
              <a:solidFill>
                <a:srgbClr val="FFFF00"/>
              </a:solidFill>
            </c:spPr>
          </c:dPt>
          <c:dPt>
            <c:idx val="4"/>
            <c:spPr>
              <a:solidFill>
                <a:schemeClr val="tx2"/>
              </a:solidFill>
            </c:spPr>
          </c:dPt>
          <c:dPt>
            <c:idx val="5"/>
            <c:spPr>
              <a:solidFill>
                <a:srgbClr val="F97817"/>
              </a:solidFill>
            </c:spPr>
          </c:dPt>
          <c:dPt>
            <c:idx val="6"/>
            <c:spPr>
              <a:solidFill>
                <a:srgbClr val="C00000"/>
              </a:solidFill>
            </c:spPr>
          </c:dPt>
          <c:dPt>
            <c:idx val="7"/>
            <c:spPr>
              <a:solidFill>
                <a:srgbClr val="FFC000"/>
              </a:solidFill>
            </c:spPr>
          </c:dPt>
          <c:dPt>
            <c:idx val="8"/>
            <c:spPr>
              <a:solidFill>
                <a:srgbClr val="008000"/>
              </a:solidFill>
            </c:spPr>
          </c:dPt>
          <c:dLbls>
            <c:dLbl>
              <c:idx val="2"/>
              <c:layout>
                <c:manualLayout>
                  <c:x val="-1.2089995808743278E-2"/>
                  <c:y val="-3.6600510093496241E-2"/>
                </c:manualLayout>
              </c:layout>
              <c:showCatName val="1"/>
              <c:showPercent val="1"/>
            </c:dLbl>
            <c:dLbl>
              <c:idx val="3"/>
              <c:layout>
                <c:manualLayout>
                  <c:x val="-1.5224277601484481E-3"/>
                  <c:y val="-3.2986380673033652E-2"/>
                </c:manualLayout>
              </c:layout>
              <c:showCatName val="1"/>
              <c:showPercent val="1"/>
            </c:dLbl>
            <c:dLbl>
              <c:idx val="4"/>
              <c:layout>
                <c:manualLayout>
                  <c:x val="0"/>
                  <c:y val="-1.2600520131002341E-2"/>
                </c:manualLayout>
              </c:layout>
              <c:showCatName val="1"/>
              <c:showPercent val="1"/>
            </c:dLbl>
            <c:dLbl>
              <c:idx val="5"/>
              <c:layout>
                <c:manualLayout>
                  <c:x val="2.1261990536344852E-2"/>
                  <c:y val="-6.0883745921872033E-4"/>
                </c:manualLayout>
              </c:layout>
              <c:showCatName val="1"/>
              <c:showPercent val="1"/>
            </c:dLbl>
            <c:dLbl>
              <c:idx val="6"/>
              <c:layout>
                <c:manualLayout>
                  <c:x val="-9.3163243690693745E-2"/>
                  <c:y val="-6.6643078528112701E-2"/>
                </c:manualLayout>
              </c:layout>
              <c:showCatName val="1"/>
              <c:showPercent val="1"/>
            </c:dLbl>
            <c:dLbl>
              <c:idx val="7"/>
              <c:layout>
                <c:manualLayout>
                  <c:x val="-6.4491610332479364E-4"/>
                  <c:y val="-2.0420050796052629E-4"/>
                </c:manualLayout>
              </c:layout>
              <c:showCatName val="1"/>
              <c:showPercent val="1"/>
            </c:dLbl>
            <c:dLbl>
              <c:idx val="8"/>
              <c:layout>
                <c:manualLayout>
                  <c:x val="-7.7869039104910914E-2"/>
                  <c:y val="4.3941432150138432E-2"/>
                </c:manualLayout>
              </c:layout>
              <c:tx>
                <c:rich>
                  <a:bodyPr/>
                  <a:lstStyle/>
                  <a:p>
                    <a:r>
                      <a:rPr lang="en-US" sz="800"/>
                      <a:t>Servicios Comunales, Sociales y Personales
16.2%</a:t>
                    </a:r>
                  </a:p>
                </c:rich>
              </c:tx>
              <c:showCatName val="1"/>
              <c:showPercent val="1"/>
            </c:dLbl>
            <c:numFmt formatCode="0.0%" sourceLinked="0"/>
            <c:txPr>
              <a:bodyPr/>
              <a:lstStyle/>
              <a:p>
                <a:pPr>
                  <a:defRPr sz="800"/>
                </a:pPr>
                <a:endParaRPr lang="es-MX"/>
              </a:p>
            </c:txPr>
            <c:showCatName val="1"/>
            <c:showPercent val="1"/>
            <c:showLeaderLines val="1"/>
          </c:dLbls>
          <c:cat>
            <c:strRef>
              <c:f>'Composición del PIBM'!$C$1:$K$1</c:f>
              <c:strCache>
                <c:ptCount val="9"/>
                <c:pt idx="0">
                  <c:v>Agropecuario</c:v>
                </c:pt>
                <c:pt idx="1">
                  <c:v>Mineria</c:v>
                </c:pt>
                <c:pt idx="2">
                  <c:v>Manufacturas</c:v>
                </c:pt>
                <c:pt idx="3">
                  <c:v>Construcción</c:v>
                </c:pt>
                <c:pt idx="4">
                  <c:v>Electricidad, Agua y Gas</c:v>
                </c:pt>
                <c:pt idx="5">
                  <c:v>Comercio, Restaurantes y Hoteles</c:v>
                </c:pt>
                <c:pt idx="6">
                  <c:v>Transporte, Almacenaje y Comunicaciones</c:v>
                </c:pt>
                <c:pt idx="7">
                  <c:v>Servicios Financieros, Seg y Serv Inmb.</c:v>
                </c:pt>
                <c:pt idx="8">
                  <c:v>Servicios Comunales, Sociales y Personales</c:v>
                </c:pt>
              </c:strCache>
            </c:strRef>
          </c:cat>
          <c:val>
            <c:numRef>
              <c:f>'Composición del PIBM'!$C$2:$K$2</c:f>
              <c:numCache>
                <c:formatCode>0.0</c:formatCode>
                <c:ptCount val="9"/>
                <c:pt idx="0">
                  <c:v>0.31891638260554239</c:v>
                </c:pt>
                <c:pt idx="1">
                  <c:v>1.2046647168490836</c:v>
                </c:pt>
                <c:pt idx="2">
                  <c:v>19.437349028780986</c:v>
                </c:pt>
                <c:pt idx="3">
                  <c:v>5.7891641079572329</c:v>
                </c:pt>
                <c:pt idx="4">
                  <c:v>2.3056312874782519</c:v>
                </c:pt>
                <c:pt idx="5">
                  <c:v>18.50103991955347</c:v>
                </c:pt>
                <c:pt idx="6">
                  <c:v>12.980411566020654</c:v>
                </c:pt>
                <c:pt idx="7">
                  <c:v>23.247590965425086</c:v>
                </c:pt>
                <c:pt idx="8">
                  <c:v>16.21523202532919</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VERACRUZ.</a:t>
            </a:r>
            <a:r>
              <a:rPr lang="es-MX" sz="1100" b="0" baseline="0"/>
              <a:t> PARTICIPACIÓN PORCENTUAL DE LOS MUNICIPIOS EN EL PRODUCTO INTERNO BRUTO EN LA INDUSTRIA MANUFACTURERA</a:t>
            </a:r>
            <a:endParaRPr lang="es-MX" sz="11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25400">
          <a:noFill/>
        </a:ln>
      </c:spPr>
    </c:floor>
    <c:sideWall>
      <c:spPr>
        <a:noFill/>
        <a:ln w="25400">
          <a:noFill/>
        </a:ln>
      </c:spPr>
    </c:sideWall>
    <c:backWall>
      <c:spPr>
        <a:noFill/>
        <a:ln w="25400">
          <a:noFill/>
        </a:ln>
      </c:spPr>
    </c:backWall>
    <c:plotArea>
      <c:layout>
        <c:manualLayout>
          <c:layoutTarget val="inner"/>
          <c:xMode val="edge"/>
          <c:yMode val="edge"/>
          <c:x val="0.21368204101220095"/>
          <c:y val="0.28036572483124911"/>
          <c:w val="0.75609256888121856"/>
          <c:h val="0.64057941827490894"/>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0"/>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spPr>
              <a:effectLst>
                <a:outerShdw blurRad="50800" dist="38100" dir="2700000" algn="tl" rotWithShape="0">
                  <a:prstClr val="black">
                    <a:alpha val="40000"/>
                  </a:prstClr>
                </a:outerShdw>
              </a:effectLst>
              <a:scene3d>
                <a:camera prst="orthographicFront"/>
                <a:lightRig rig="threePt" dir="t"/>
              </a:scene3d>
              <a:sp3d>
                <a:bevelT/>
              </a:sp3d>
            </c:spPr>
            <c:showVal val="1"/>
          </c:dLbls>
          <c:cat>
            <c:strRef>
              <c:f>'Composición del PIBM2'!$H$3:$H$10</c:f>
              <c:strCache>
                <c:ptCount val="8"/>
                <c:pt idx="0">
                  <c:v>Coatzacoalcos</c:v>
                </c:pt>
                <c:pt idx="1">
                  <c:v>Ixtaczoquitlán</c:v>
                </c:pt>
                <c:pt idx="2">
                  <c:v>Veracruz</c:v>
                </c:pt>
                <c:pt idx="3">
                  <c:v>Minatitlán</c:v>
                </c:pt>
                <c:pt idx="4">
                  <c:v>Orizaba</c:v>
                </c:pt>
                <c:pt idx="5">
                  <c:v>Coatepec</c:v>
                </c:pt>
                <c:pt idx="6">
                  <c:v>Cosoleacaque</c:v>
                </c:pt>
                <c:pt idx="7">
                  <c:v>Córdoba</c:v>
                </c:pt>
              </c:strCache>
            </c:strRef>
          </c:cat>
          <c:val>
            <c:numRef>
              <c:f>'Composición del PIBM2'!$I$3:$I$10</c:f>
              <c:numCache>
                <c:formatCode>0.0</c:formatCode>
                <c:ptCount val="8"/>
                <c:pt idx="0">
                  <c:v>27.1</c:v>
                </c:pt>
                <c:pt idx="1">
                  <c:v>14.5</c:v>
                </c:pt>
                <c:pt idx="2">
                  <c:v>12.1</c:v>
                </c:pt>
                <c:pt idx="3">
                  <c:v>9.4</c:v>
                </c:pt>
                <c:pt idx="4">
                  <c:v>8</c:v>
                </c:pt>
                <c:pt idx="5">
                  <c:v>6.1</c:v>
                </c:pt>
                <c:pt idx="6">
                  <c:v>3.9</c:v>
                </c:pt>
                <c:pt idx="7">
                  <c:v>2.2999999999999998</c:v>
                </c:pt>
              </c:numCache>
            </c:numRef>
          </c:val>
        </c:ser>
        <c:dLbls>
          <c:showVal val="1"/>
        </c:dLbls>
        <c:gapWidth val="120"/>
        <c:shape val="box"/>
        <c:axId val="76889088"/>
        <c:axId val="76907264"/>
        <c:axId val="0"/>
      </c:bar3DChart>
      <c:catAx>
        <c:axId val="76889088"/>
        <c:scaling>
          <c:orientation val="minMax"/>
        </c:scaling>
        <c:axPos val="l"/>
        <c:numFmt formatCode="General" sourceLinked="1"/>
        <c:majorTickMark val="none"/>
        <c:tickLblPos val="nextTo"/>
        <c:crossAx val="76907264"/>
        <c:crosses val="autoZero"/>
        <c:auto val="1"/>
        <c:lblAlgn val="ctr"/>
        <c:lblOffset val="100"/>
      </c:catAx>
      <c:valAx>
        <c:axId val="76907264"/>
        <c:scaling>
          <c:orientation val="minMax"/>
        </c:scaling>
        <c:delete val="1"/>
        <c:axPos val="b"/>
        <c:numFmt formatCode="0.0" sourceLinked="1"/>
        <c:tickLblPos val="none"/>
        <c:crossAx val="76889088"/>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975" b="0" i="0" u="none" strike="noStrike" baseline="0">
                <a:solidFill>
                  <a:srgbClr val="000000"/>
                </a:solidFill>
                <a:latin typeface="Arial"/>
                <a:ea typeface="Arial"/>
                <a:cs typeface="Arial"/>
              </a:defRPr>
            </a:pPr>
            <a:r>
              <a:rPr lang="es-MX"/>
              <a:t>Participación en las remuneraciones totales por Municipio
 (%)</a:t>
            </a:r>
          </a:p>
        </c:rich>
      </c:tx>
      <c:layout>
        <c:manualLayout>
          <c:xMode val="edge"/>
          <c:yMode val="edge"/>
          <c:x val="0.16470619773705344"/>
          <c:y val="3.0567685589520284E-2"/>
        </c:manualLayout>
      </c:layout>
      <c:spPr>
        <a:solidFill>
          <a:srgbClr val="FFFFFF"/>
        </a:solidFill>
        <a:ln w="3175">
          <a:solidFill>
            <a:srgbClr val="000000"/>
          </a:solidFill>
          <a:prstDash val="solid"/>
        </a:ln>
        <a:effectLst>
          <a:outerShdw dist="35921" dir="2700000" algn="br">
            <a:srgbClr val="000000"/>
          </a:outerShdw>
        </a:effectLst>
      </c:spPr>
    </c:title>
    <c:view3D>
      <c:rotX val="0"/>
      <c:perspective val="0"/>
    </c:view3D>
    <c:floor>
      <c:spPr>
        <a:noFill/>
        <a:ln w="9525">
          <a:noFill/>
        </a:ln>
      </c:spPr>
    </c:floor>
    <c:sideWall>
      <c:spPr>
        <a:noFill/>
        <a:ln w="25400">
          <a:noFill/>
        </a:ln>
      </c:spPr>
    </c:sideWall>
    <c:backWall>
      <c:spPr>
        <a:noFill/>
        <a:ln w="25400">
          <a:noFill/>
        </a:ln>
      </c:spPr>
    </c:backWall>
    <c:plotArea>
      <c:layout>
        <c:manualLayout>
          <c:layoutTarget val="inner"/>
          <c:xMode val="edge"/>
          <c:yMode val="edge"/>
          <c:x val="0.20065400648448353"/>
          <c:y val="0.14720795947018478"/>
          <c:w val="0.7980407437973801"/>
          <c:h val="0.83187772925764158"/>
        </c:manualLayout>
      </c:layout>
      <c:bar3DChart>
        <c:barDir val="bar"/>
        <c:grouping val="stacked"/>
        <c:ser>
          <c:idx val="0"/>
          <c:order val="0"/>
          <c:spPr>
            <a:solidFill>
              <a:schemeClr val="accent3"/>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contourClr>
                <a:srgbClr val="000000"/>
              </a:contourClr>
            </a:sp3d>
          </c:spPr>
          <c:dPt>
            <c:idx val="1"/>
            <c:spPr>
              <a:solidFill>
                <a:srgbClr val="FF0000"/>
              </a:solidFill>
              <a:ln w="12700">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contourClr>
                  <a:srgbClr val="000000"/>
                </a:contourClr>
              </a:sp3d>
            </c:spPr>
          </c:dPt>
          <c:dLbls>
            <c:numFmt formatCode="_-* #,##0.0_-;\-* #,##0.0_-;_-* &quot;-&quot;??_-;_-@_-" sourceLinked="0"/>
            <c:spPr>
              <a:noFill/>
              <a:ln w="25400">
                <a:noFill/>
              </a:ln>
            </c:spPr>
            <c:txPr>
              <a:bodyPr/>
              <a:lstStyle/>
              <a:p>
                <a:pPr>
                  <a:defRPr sz="825" b="0" i="0" u="none" strike="noStrike" baseline="0">
                    <a:solidFill>
                      <a:srgbClr val="000000"/>
                    </a:solidFill>
                    <a:latin typeface="Arial"/>
                    <a:ea typeface="Arial"/>
                    <a:cs typeface="Arial"/>
                  </a:defRPr>
                </a:pPr>
                <a:endParaRPr lang="es-MX"/>
              </a:p>
            </c:txPr>
            <c:showVal val="1"/>
          </c:dLbls>
          <c:cat>
            <c:strRef>
              <c:f>'C:\Users\n\AppData\Roaming\Microsoft\Excel\Indicadores Municipales Veracruz\Xalapa. Estudio económico y social\[Xalapa. Sectores productivos.xls]Hoja3'!$C$10:$C$19</c:f>
              <c:strCache>
                <c:ptCount val="10"/>
                <c:pt idx="0">
                  <c:v>Veracruz</c:v>
                </c:pt>
                <c:pt idx="1">
                  <c:v>Coatzacoalcos</c:v>
                </c:pt>
                <c:pt idx="2">
                  <c:v>Poza Rica</c:v>
                </c:pt>
                <c:pt idx="3">
                  <c:v>Xalapa</c:v>
                </c:pt>
                <c:pt idx="4">
                  <c:v>Minatitlán</c:v>
                </c:pt>
                <c:pt idx="5">
                  <c:v>Cordoba</c:v>
                </c:pt>
                <c:pt idx="6">
                  <c:v>Boca del Río</c:v>
                </c:pt>
                <c:pt idx="7">
                  <c:v>Orizaba</c:v>
                </c:pt>
                <c:pt idx="8">
                  <c:v>Agua Dulce</c:v>
                </c:pt>
                <c:pt idx="9">
                  <c:v>Cosoleacaque</c:v>
                </c:pt>
              </c:strCache>
            </c:strRef>
          </c:cat>
          <c:val>
            <c:numRef>
              <c:f>'C:\Users\n\AppData\Roaming\Microsoft\Excel\Indicadores Municipales Veracruz\Xalapa. Estudio económico y social\[Xalapa. Sectores productivos.xls]Hoja3'!$D$10:$D$19</c:f>
              <c:numCache>
                <c:formatCode>General</c:formatCode>
                <c:ptCount val="10"/>
                <c:pt idx="0">
                  <c:v>27.197996874490631</c:v>
                </c:pt>
                <c:pt idx="1">
                  <c:v>16.544197350819651</c:v>
                </c:pt>
                <c:pt idx="2">
                  <c:v>7.7852220527183134</c:v>
                </c:pt>
                <c:pt idx="3">
                  <c:v>6.2346131508993334</c:v>
                </c:pt>
                <c:pt idx="4">
                  <c:v>4.9583310238601523</c:v>
                </c:pt>
                <c:pt idx="5">
                  <c:v>3.7804548672468452</c:v>
                </c:pt>
                <c:pt idx="6">
                  <c:v>3.6713158358678797</c:v>
                </c:pt>
                <c:pt idx="7">
                  <c:v>3.4105321313747567</c:v>
                </c:pt>
                <c:pt idx="8">
                  <c:v>2.8876261810887978</c:v>
                </c:pt>
                <c:pt idx="9">
                  <c:v>2.0044671420106082</c:v>
                </c:pt>
              </c:numCache>
            </c:numRef>
          </c:val>
        </c:ser>
        <c:dLbls>
          <c:showVal val="1"/>
        </c:dLbls>
        <c:gapWidth val="45"/>
        <c:shape val="box"/>
        <c:axId val="76160000"/>
        <c:axId val="76161792"/>
        <c:axId val="0"/>
      </c:bar3DChart>
      <c:catAx>
        <c:axId val="76160000"/>
        <c:scaling>
          <c:orientation val="minMax"/>
        </c:scaling>
        <c:axPos val="l"/>
        <c:numFmt formatCode="General" sourceLinked="1"/>
        <c:tickLblPos val="nextTo"/>
        <c:spPr>
          <a:ln w="3175">
            <a:solidFill>
              <a:srgbClr val="000000"/>
            </a:solidFill>
            <a:prstDash val="solid"/>
          </a:ln>
        </c:spPr>
        <c:txPr>
          <a:bodyPr rot="0" vert="horz"/>
          <a:lstStyle/>
          <a:p>
            <a:pPr>
              <a:defRPr sz="775" b="0" i="0" u="none" strike="noStrike" baseline="0">
                <a:solidFill>
                  <a:srgbClr val="000000"/>
                </a:solidFill>
                <a:latin typeface="Arial"/>
                <a:ea typeface="Arial"/>
                <a:cs typeface="Arial"/>
              </a:defRPr>
            </a:pPr>
            <a:endParaRPr lang="es-MX"/>
          </a:p>
        </c:txPr>
        <c:crossAx val="76161792"/>
        <c:crosses val="autoZero"/>
        <c:auto val="1"/>
        <c:lblAlgn val="ctr"/>
        <c:lblOffset val="100"/>
        <c:tickLblSkip val="1"/>
        <c:tickMarkSkip val="1"/>
      </c:catAx>
      <c:valAx>
        <c:axId val="76161792"/>
        <c:scaling>
          <c:orientation val="minMax"/>
        </c:scaling>
        <c:delete val="1"/>
        <c:axPos val="b"/>
        <c:numFmt formatCode="General" sourceLinked="1"/>
        <c:tickLblPos val="none"/>
        <c:crossAx val="76160000"/>
        <c:crosses val="autoZero"/>
        <c:crossBetween val="between"/>
      </c:valAx>
    </c:plotArea>
    <c:plotVisOnly val="1"/>
    <c:dispBlanksAs val="gap"/>
  </c:chart>
  <c:spPr>
    <a:solidFill>
      <a:srgbClr val="FFFFFF"/>
    </a:solidFill>
    <a:ln w="3175">
      <a:solidFill>
        <a:srgbClr val="000000"/>
      </a:solidFill>
      <a:prstDash val="solid"/>
    </a:ln>
    <a:effectLst>
      <a:outerShdw dist="35921" dir="2700000" algn="br">
        <a:srgbClr val="000000"/>
      </a:outerShdw>
    </a:effectLst>
  </c:spPr>
  <c:txPr>
    <a:bodyPr/>
    <a:lstStyle/>
    <a:p>
      <a:pPr>
        <a:defRPr sz="825" b="0" i="0" u="none" strike="noStrike" baseline="0">
          <a:solidFill>
            <a:srgbClr val="000000"/>
          </a:solidFill>
          <a:latin typeface="Arial"/>
          <a:ea typeface="Arial"/>
          <a:cs typeface="Arial"/>
        </a:defRPr>
      </a:pPr>
      <a:endParaRPr lang="es-MX"/>
    </a:p>
  </c:txPr>
  <c:externalData r:id="rId1"/>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b="0" i="0" u="none" strike="noStrike" baseline="0">
                <a:solidFill>
                  <a:srgbClr val="000000"/>
                </a:solidFill>
                <a:latin typeface="Arial"/>
                <a:ea typeface="Arial"/>
                <a:cs typeface="Arial"/>
              </a:defRPr>
            </a:pPr>
            <a:r>
              <a:rPr lang="es-MX"/>
              <a:t>REMUNERACIONES POR PERSONA OCUPADA POR MUNICIPIO (Pesos Corrientes)</a:t>
            </a:r>
          </a:p>
        </c:rich>
      </c:tx>
      <c:layout>
        <c:manualLayout>
          <c:xMode val="edge"/>
          <c:yMode val="edge"/>
          <c:x val="0.14412830068839291"/>
          <c:y val="3.0864197530864296E-2"/>
        </c:manualLayout>
      </c:layout>
      <c:spPr>
        <a:solidFill>
          <a:srgbClr val="FFFFFF"/>
        </a:solidFill>
        <a:ln w="3175">
          <a:solidFill>
            <a:srgbClr val="000000"/>
          </a:solidFill>
          <a:prstDash val="solid"/>
        </a:ln>
        <a:effectLst>
          <a:outerShdw blurRad="50800" dist="38100" dir="2700000" algn="tl" rotWithShape="0">
            <a:prstClr val="black">
              <a:alpha val="40000"/>
            </a:prstClr>
          </a:outerShdw>
        </a:effectLst>
        <a:scene3d>
          <a:camera prst="orthographicFront"/>
          <a:lightRig rig="threePt" dir="t"/>
        </a:scene3d>
        <a:sp3d>
          <a:bevelT/>
        </a:sp3d>
      </c:spPr>
    </c:title>
    <c:view3D>
      <c:rotX val="0"/>
      <c:perspective val="0"/>
    </c:view3D>
    <c:floor>
      <c:spPr>
        <a:noFill/>
        <a:ln w="9525">
          <a:noFill/>
        </a:ln>
      </c:spPr>
    </c:floor>
    <c:sideWall>
      <c:spPr>
        <a:noFill/>
        <a:ln w="25400">
          <a:noFill/>
        </a:ln>
      </c:spPr>
    </c:sideWall>
    <c:backWall>
      <c:spPr>
        <a:noFill/>
        <a:ln w="25400">
          <a:noFill/>
        </a:ln>
      </c:spPr>
    </c:backWall>
    <c:plotArea>
      <c:layout>
        <c:manualLayout>
          <c:layoutTarget val="inner"/>
          <c:xMode val="edge"/>
          <c:yMode val="edge"/>
          <c:x val="0.22419948304698678"/>
          <c:y val="0.15226368044239871"/>
          <c:w val="0.76512521992223981"/>
          <c:h val="0.81481645209710185"/>
        </c:manualLayout>
      </c:layout>
      <c:bar3DChart>
        <c:barDir val="bar"/>
        <c:grouping val="clustered"/>
        <c:ser>
          <c:idx val="0"/>
          <c:order val="0"/>
          <c:spPr>
            <a:solidFill>
              <a:schemeClr val="accent3"/>
            </a:solidFill>
            <a:ln w="12700">
              <a:solidFill>
                <a:srgbClr val="000000"/>
              </a:solidFill>
              <a:prstDash val="solid"/>
            </a:ln>
            <a:effectLst/>
            <a:scene3d>
              <a:camera prst="orthographicFront"/>
              <a:lightRig rig="threePt" dir="t"/>
            </a:scene3d>
            <a:sp3d>
              <a:bevelT/>
            </a:sp3d>
          </c:spPr>
          <c:dPt>
            <c:idx val="1"/>
            <c:spPr>
              <a:solidFill>
                <a:schemeClr val="tx2">
                  <a:lumMod val="60000"/>
                  <a:lumOff val="40000"/>
                </a:schemeClr>
              </a:solidFill>
              <a:ln w="12700">
                <a:solidFill>
                  <a:srgbClr val="000000"/>
                </a:solidFill>
                <a:prstDash val="solid"/>
              </a:ln>
              <a:effectLst/>
              <a:scene3d>
                <a:camera prst="orthographicFront"/>
                <a:lightRig rig="threePt" dir="t"/>
              </a:scene3d>
              <a:sp3d>
                <a:bevelT/>
              </a:sp3d>
            </c:spPr>
          </c:dPt>
          <c:dPt>
            <c:idx val="16"/>
            <c:spPr>
              <a:solidFill>
                <a:srgbClr val="FF0000"/>
              </a:solidFill>
              <a:ln w="12700">
                <a:solidFill>
                  <a:srgbClr val="000000"/>
                </a:solidFill>
                <a:prstDash val="solid"/>
              </a:ln>
              <a:effectLst/>
              <a:scene3d>
                <a:camera prst="orthographicFront"/>
                <a:lightRig rig="threePt" dir="t"/>
              </a:scene3d>
              <a:sp3d>
                <a:bevelT/>
              </a:sp3d>
            </c:spPr>
          </c:dPt>
          <c:dLbls>
            <c:dLbl>
              <c:idx val="0"/>
              <c:tx>
                <c:rich>
                  <a:bodyPr/>
                  <a:lstStyle/>
                  <a:p>
                    <a:r>
                      <a:rPr lang="en-US"/>
                      <a:t>42,673</a:t>
                    </a:r>
                  </a:p>
                </c:rich>
              </c:tx>
              <c:showVal val="1"/>
            </c:dLbl>
            <c:dLbl>
              <c:idx val="21"/>
              <c:layout>
                <c:manualLayout>
                  <c:x val="-6.8801897983392674E-2"/>
                  <c:y val="0"/>
                </c:manualLayout>
              </c:layout>
              <c:showVal val="1"/>
            </c:dLbl>
            <c:spPr>
              <a:noFill/>
              <a:ln w="25400">
                <a:noFill/>
              </a:ln>
            </c:spPr>
            <c:txPr>
              <a:bodyPr/>
              <a:lstStyle/>
              <a:p>
                <a:pPr>
                  <a:defRPr sz="800" b="0" i="0" u="none" strike="noStrike" baseline="0">
                    <a:solidFill>
                      <a:srgbClr val="000000"/>
                    </a:solidFill>
                    <a:latin typeface="Arial"/>
                    <a:ea typeface="Arial"/>
                    <a:cs typeface="Arial"/>
                  </a:defRPr>
                </a:pPr>
                <a:endParaRPr lang="es-MX"/>
              </a:p>
            </c:txPr>
            <c:showVal val="1"/>
          </c:dLbls>
          <c:cat>
            <c:strRef>
              <c:f>'rem x perso ocup x municipio'!$A$3:$A$24</c:f>
              <c:strCache>
                <c:ptCount val="22"/>
                <c:pt idx="0">
                  <c:v>Boca del Río</c:v>
                </c:pt>
                <c:pt idx="1">
                  <c:v>Estado de Veracruz</c:v>
                </c:pt>
                <c:pt idx="2">
                  <c:v>Camarón De Tejeda</c:v>
                </c:pt>
                <c:pt idx="3">
                  <c:v>Jesús Carranza</c:v>
                </c:pt>
                <c:pt idx="4">
                  <c:v>Úrsulo Galván</c:v>
                </c:pt>
                <c:pt idx="5">
                  <c:v>Tres Valles</c:v>
                </c:pt>
                <c:pt idx="6">
                  <c:v>Filomeno Mata</c:v>
                </c:pt>
                <c:pt idx="7">
                  <c:v>Tezonapa</c:v>
                </c:pt>
                <c:pt idx="8">
                  <c:v>Minatitlán</c:v>
                </c:pt>
                <c:pt idx="9">
                  <c:v>Ixtaczoquitlán</c:v>
                </c:pt>
                <c:pt idx="10">
                  <c:v>Huiloapan</c:v>
                </c:pt>
                <c:pt idx="11">
                  <c:v>Poza Rica</c:v>
                </c:pt>
                <c:pt idx="12">
                  <c:v>El Higo</c:v>
                </c:pt>
                <c:pt idx="13">
                  <c:v>Ixhuatlán del Sureste</c:v>
                </c:pt>
                <c:pt idx="14">
                  <c:v>Cosoleacaque</c:v>
                </c:pt>
                <c:pt idx="15">
                  <c:v>Veracruz</c:v>
                </c:pt>
                <c:pt idx="16">
                  <c:v>Coatzacoalcos</c:v>
                </c:pt>
                <c:pt idx="17">
                  <c:v>Carlos A. Carrillo</c:v>
                </c:pt>
                <c:pt idx="18">
                  <c:v>Cuichapa</c:v>
                </c:pt>
                <c:pt idx="19">
                  <c:v>Atoyac</c:v>
                </c:pt>
                <c:pt idx="20">
                  <c:v>Agua Dulce </c:v>
                </c:pt>
                <c:pt idx="21">
                  <c:v>Cotaxtla</c:v>
                </c:pt>
              </c:strCache>
            </c:strRef>
          </c:cat>
          <c:val>
            <c:numRef>
              <c:f>'rem x perso ocup x municipio'!$B$3:$B$24</c:f>
              <c:numCache>
                <c:formatCode>#,##0</c:formatCode>
                <c:ptCount val="22"/>
                <c:pt idx="0">
                  <c:v>42673</c:v>
                </c:pt>
                <c:pt idx="1">
                  <c:v>43794</c:v>
                </c:pt>
                <c:pt idx="2">
                  <c:v>46709</c:v>
                </c:pt>
                <c:pt idx="3">
                  <c:v>50540</c:v>
                </c:pt>
                <c:pt idx="4">
                  <c:v>52045</c:v>
                </c:pt>
                <c:pt idx="5">
                  <c:v>52354</c:v>
                </c:pt>
                <c:pt idx="6">
                  <c:v>54708</c:v>
                </c:pt>
                <c:pt idx="7">
                  <c:v>55859</c:v>
                </c:pt>
                <c:pt idx="8">
                  <c:v>56553</c:v>
                </c:pt>
                <c:pt idx="9">
                  <c:v>61489</c:v>
                </c:pt>
                <c:pt idx="10">
                  <c:v>66708</c:v>
                </c:pt>
                <c:pt idx="11">
                  <c:v>67066</c:v>
                </c:pt>
                <c:pt idx="12">
                  <c:v>67450</c:v>
                </c:pt>
                <c:pt idx="13">
                  <c:v>73175</c:v>
                </c:pt>
                <c:pt idx="14">
                  <c:v>74080</c:v>
                </c:pt>
                <c:pt idx="15">
                  <c:v>75366</c:v>
                </c:pt>
                <c:pt idx="16">
                  <c:v>79517</c:v>
                </c:pt>
                <c:pt idx="17">
                  <c:v>81885</c:v>
                </c:pt>
                <c:pt idx="18">
                  <c:v>82137</c:v>
                </c:pt>
                <c:pt idx="19">
                  <c:v>109352</c:v>
                </c:pt>
                <c:pt idx="20">
                  <c:v>119146</c:v>
                </c:pt>
                <c:pt idx="21">
                  <c:v>147995</c:v>
                </c:pt>
              </c:numCache>
            </c:numRef>
          </c:val>
        </c:ser>
        <c:dLbls>
          <c:showVal val="1"/>
        </c:dLbls>
        <c:gapWidth val="36"/>
        <c:shape val="box"/>
        <c:axId val="76919936"/>
        <c:axId val="76921472"/>
        <c:axId val="0"/>
      </c:bar3DChart>
      <c:catAx>
        <c:axId val="76919936"/>
        <c:scaling>
          <c:orientation val="minMax"/>
        </c:scaling>
        <c:axPos val="l"/>
        <c:numFmt formatCode="General" sourceLinked="1"/>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s-MX"/>
          </a:p>
        </c:txPr>
        <c:crossAx val="76921472"/>
        <c:crosses val="autoZero"/>
        <c:auto val="1"/>
        <c:lblAlgn val="ctr"/>
        <c:lblOffset val="100"/>
        <c:tickLblSkip val="1"/>
        <c:tickMarkSkip val="1"/>
      </c:catAx>
      <c:valAx>
        <c:axId val="76921472"/>
        <c:scaling>
          <c:orientation val="minMax"/>
        </c:scaling>
        <c:delete val="1"/>
        <c:axPos val="b"/>
        <c:numFmt formatCode="#,##0" sourceLinked="1"/>
        <c:tickLblPos val="none"/>
        <c:crossAx val="76919936"/>
        <c:crosses val="autoZero"/>
        <c:crossBetween val="between"/>
      </c:valAx>
    </c:plotArea>
    <c:plotVisOnly val="1"/>
    <c:dispBlanksAs val="gap"/>
  </c:chart>
  <c:spPr>
    <a:solidFill>
      <a:srgbClr val="FFFFFF"/>
    </a:solidFill>
    <a:ln w="3175">
      <a:solidFill>
        <a:srgbClr val="000000"/>
      </a:solidFill>
      <a:prstDash val="solid"/>
    </a:ln>
    <a:effectLst>
      <a:outerShdw blurRad="50800" dist="38100" dir="2700000" algn="tl" rotWithShape="0">
        <a:prstClr val="black">
          <a:alpha val="40000"/>
        </a:prstClr>
      </a:outerShdw>
    </a:effectLst>
  </c:spPr>
  <c:txPr>
    <a:bodyPr/>
    <a:lstStyle/>
    <a:p>
      <a:pPr>
        <a:defRPr sz="900" b="0" i="0" u="none" strike="noStrike" baseline="0">
          <a:solidFill>
            <a:srgbClr val="000000"/>
          </a:solidFill>
          <a:latin typeface="Arial"/>
          <a:ea typeface="Arial"/>
          <a:cs typeface="Arial"/>
        </a:defRPr>
      </a:pPr>
      <a:endParaRPr lang="es-MX"/>
    </a:p>
  </c:txPr>
  <c:externalData r:id="rId1"/>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COATZACOALCOS.</a:t>
            </a:r>
            <a:r>
              <a:rPr lang="es-MX" sz="1100" baseline="0"/>
              <a:t> REMUNERACIONES POR PERSONA OCUPADA</a:t>
            </a:r>
          </a:p>
          <a:p>
            <a:pPr>
              <a:defRPr/>
            </a:pPr>
            <a:r>
              <a:rPr lang="es-MX" sz="1100" baseline="0"/>
              <a:t>(Pesos corrientes)</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manualLayout>
          <c:layoutTarget val="inner"/>
          <c:xMode val="edge"/>
          <c:yMode val="edge"/>
          <c:x val="0.5039749367574502"/>
          <c:y val="0.14832273894692521"/>
          <c:w val="0.45413479800831574"/>
          <c:h val="0.81685971669935509"/>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12"/>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'Remuneraciones x sector product'!$A$2:$A$17</c:f>
              <c:strCache>
                <c:ptCount val="16"/>
                <c:pt idx="0">
                  <c:v>Agricultura, ganadería, forestal, pesca y caza</c:v>
                </c:pt>
                <c:pt idx="1">
                  <c:v>Servicios de salud y de asistencia social</c:v>
                </c:pt>
                <c:pt idx="2">
                  <c:v>Construcción</c:v>
                </c:pt>
                <c:pt idx="3">
                  <c:v>Servicios de alojamiento temporal y preparación de alimentos y bebidas</c:v>
                </c:pt>
                <c:pt idx="4">
                  <c:v>Otros Servicios Excepto actividades del Gobierno (servicios técnicos)</c:v>
                </c:pt>
                <c:pt idx="5">
                  <c:v>Servicios de esparcimiento culturales y deportivos, y recreativos</c:v>
                </c:pt>
                <c:pt idx="6">
                  <c:v>Comercio- menudeo</c:v>
                </c:pt>
                <c:pt idx="7">
                  <c:v>Servicios financieros, seguros, servicios inmobiliarios y de alquiler</c:v>
                </c:pt>
                <c:pt idx="8">
                  <c:v>Servicios educativos</c:v>
                </c:pt>
                <c:pt idx="9">
                  <c:v>Servicios profesionales, científicos y técnicos, y otros </c:v>
                </c:pt>
                <c:pt idx="10">
                  <c:v>Trasportes, correos, almacenamiento e información </c:v>
                </c:pt>
                <c:pt idx="11">
                  <c:v>Comercio- mayoreo</c:v>
                </c:pt>
                <c:pt idx="12">
                  <c:v>Promedio Municipal</c:v>
                </c:pt>
                <c:pt idx="13">
                  <c:v>Electricidad, agua y gas </c:v>
                </c:pt>
                <c:pt idx="14">
                  <c:v>Industrias manufactureras</c:v>
                </c:pt>
                <c:pt idx="15">
                  <c:v>Minería</c:v>
                </c:pt>
              </c:strCache>
            </c:strRef>
          </c:cat>
          <c:val>
            <c:numRef>
              <c:f>'Remuneraciones x sector product'!$C$2:$C$17</c:f>
              <c:numCache>
                <c:formatCode>#,##0</c:formatCode>
                <c:ptCount val="16"/>
                <c:pt idx="0">
                  <c:v>5411.1570247935151</c:v>
                </c:pt>
                <c:pt idx="1">
                  <c:v>10969.723183391006</c:v>
                </c:pt>
                <c:pt idx="2">
                  <c:v>15462.4080387583</c:v>
                </c:pt>
                <c:pt idx="3">
                  <c:v>16003.89424062308</c:v>
                </c:pt>
                <c:pt idx="4">
                  <c:v>16887.750122010737</c:v>
                </c:pt>
                <c:pt idx="5">
                  <c:v>18240.208877284625</c:v>
                </c:pt>
                <c:pt idx="6">
                  <c:v>20061.039118323846</c:v>
                </c:pt>
                <c:pt idx="7">
                  <c:v>20067.896060352054</c:v>
                </c:pt>
                <c:pt idx="8">
                  <c:v>31008.440514469461</c:v>
                </c:pt>
                <c:pt idx="9">
                  <c:v>39604.375105986095</c:v>
                </c:pt>
                <c:pt idx="10">
                  <c:v>53999.722453509974</c:v>
                </c:pt>
                <c:pt idx="11">
                  <c:v>60683.608640406608</c:v>
                </c:pt>
                <c:pt idx="12">
                  <c:v>79517</c:v>
                </c:pt>
                <c:pt idx="13">
                  <c:v>100238.39662447239</c:v>
                </c:pt>
                <c:pt idx="14">
                  <c:v>237201.76126424992</c:v>
                </c:pt>
                <c:pt idx="15">
                  <c:v>348333.33333333622</c:v>
                </c:pt>
              </c:numCache>
            </c:numRef>
          </c:val>
        </c:ser>
        <c:dLbls>
          <c:showVal val="1"/>
        </c:dLbls>
        <c:shape val="box"/>
        <c:axId val="77044352"/>
        <c:axId val="77046144"/>
        <c:axId val="0"/>
      </c:bar3DChart>
      <c:catAx>
        <c:axId val="77044352"/>
        <c:scaling>
          <c:orientation val="minMax"/>
        </c:scaling>
        <c:axPos val="l"/>
        <c:numFmt formatCode="General" sourceLinked="1"/>
        <c:majorTickMark val="none"/>
        <c:tickLblPos val="nextTo"/>
        <c:txPr>
          <a:bodyPr/>
          <a:lstStyle/>
          <a:p>
            <a:pPr>
              <a:defRPr sz="600"/>
            </a:pPr>
            <a:endParaRPr lang="es-MX"/>
          </a:p>
        </c:txPr>
        <c:crossAx val="77046144"/>
        <c:crosses val="autoZero"/>
        <c:auto val="1"/>
        <c:lblAlgn val="r"/>
        <c:lblOffset val="100"/>
      </c:catAx>
      <c:valAx>
        <c:axId val="77046144"/>
        <c:scaling>
          <c:orientation val="minMax"/>
        </c:scaling>
        <c:delete val="1"/>
        <c:axPos val="b"/>
        <c:numFmt formatCode="#,##0" sourceLinked="1"/>
        <c:tickLblPos val="none"/>
        <c:crossAx val="77044352"/>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000" b="0"/>
              <a:t>COATZACOALCOS.</a:t>
            </a:r>
            <a:r>
              <a:rPr lang="es-MX" sz="1000" b="0" baseline="0"/>
              <a:t> DÉFICIT-SUPERÁVIT DE REMUNERACIONES POR SECTOR DE ACTIVIDAD</a:t>
            </a:r>
          </a:p>
          <a:p>
            <a:pPr>
              <a:defRPr/>
            </a:pPr>
            <a:r>
              <a:rPr lang="es-MX" sz="1000" b="0" baseline="0"/>
              <a:t>(Pesos corrientes)</a:t>
            </a:r>
            <a:endParaRPr lang="es-MX" sz="10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17558453414667041"/>
          <c:y val="0.22296647995340421"/>
          <c:w val="0.78823192555476029"/>
          <c:h val="0.76376175567365345"/>
        </c:manualLayout>
      </c:layout>
      <c:barChart>
        <c:barDir val="bar"/>
        <c:grouping val="clustered"/>
        <c:ser>
          <c:idx val="0"/>
          <c:order val="0"/>
          <c:spPr>
            <a:effectLst>
              <a:outerShdw blurRad="50800" dist="38100" dir="2700000" algn="tl" rotWithShape="0">
                <a:prstClr val="black">
                  <a:alpha val="40000"/>
                </a:prstClr>
              </a:outerShdw>
            </a:effectLst>
            <a:scene3d>
              <a:camera prst="orthographicFront"/>
              <a:lightRig rig="threePt" dir="t"/>
            </a:scene3d>
            <a:sp3d>
              <a:bevelT/>
            </a:sp3d>
          </c:spPr>
          <c:dPt>
            <c:idx val="0"/>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1"/>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2"/>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3"/>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4"/>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5"/>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6"/>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7"/>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8"/>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9"/>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10"/>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11"/>
            <c:spPr>
              <a:solidFill>
                <a:srgbClr val="FF9900"/>
              </a:solidFill>
              <a:effectLst>
                <a:outerShdw blurRad="50800" dist="38100" dir="2700000" algn="tl" rotWithShape="0">
                  <a:prstClr val="black">
                    <a:alpha val="40000"/>
                  </a:prstClr>
                </a:outerShdw>
              </a:effectLst>
              <a:scene3d>
                <a:camera prst="orthographicFront"/>
                <a:lightRig rig="threePt" dir="t"/>
              </a:scene3d>
              <a:sp3d>
                <a:bevelT/>
              </a:sp3d>
            </c:spPr>
          </c:dPt>
          <c:dPt>
            <c:idx val="12"/>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dPt>
            <c:idx val="13"/>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dPt>
            <c:idx val="14"/>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dLbls>
            <c:dLbl>
              <c:idx val="0"/>
              <c:numFmt formatCode="#,##0" sourceLinked="0"/>
              <c:spPr/>
              <c:txPr>
                <a:bodyPr/>
                <a:lstStyle/>
                <a:p>
                  <a:pPr>
                    <a:defRPr sz="400">
                      <a:solidFill>
                        <a:srgbClr val="FF0000"/>
                      </a:solidFill>
                    </a:defRPr>
                  </a:pPr>
                  <a:endParaRPr lang="es-MX"/>
                </a:p>
              </c:txPr>
            </c:dLbl>
            <c:dLbl>
              <c:idx val="1"/>
              <c:numFmt formatCode="#,##0" sourceLinked="0"/>
              <c:spPr/>
              <c:txPr>
                <a:bodyPr/>
                <a:lstStyle/>
                <a:p>
                  <a:pPr>
                    <a:defRPr sz="400">
                      <a:solidFill>
                        <a:srgbClr val="FF0000"/>
                      </a:solidFill>
                    </a:defRPr>
                  </a:pPr>
                  <a:endParaRPr lang="es-MX"/>
                </a:p>
              </c:txPr>
            </c:dLbl>
            <c:dLbl>
              <c:idx val="2"/>
              <c:numFmt formatCode="#,##0" sourceLinked="0"/>
              <c:spPr/>
              <c:txPr>
                <a:bodyPr/>
                <a:lstStyle/>
                <a:p>
                  <a:pPr>
                    <a:defRPr sz="400">
                      <a:solidFill>
                        <a:srgbClr val="FF0000"/>
                      </a:solidFill>
                    </a:defRPr>
                  </a:pPr>
                  <a:endParaRPr lang="es-MX"/>
                </a:p>
              </c:txPr>
            </c:dLbl>
            <c:dLbl>
              <c:idx val="3"/>
              <c:numFmt formatCode="#,##0" sourceLinked="0"/>
              <c:spPr/>
              <c:txPr>
                <a:bodyPr/>
                <a:lstStyle/>
                <a:p>
                  <a:pPr>
                    <a:defRPr sz="400">
                      <a:solidFill>
                        <a:srgbClr val="FF0000"/>
                      </a:solidFill>
                    </a:defRPr>
                  </a:pPr>
                  <a:endParaRPr lang="es-MX"/>
                </a:p>
              </c:txPr>
            </c:dLbl>
            <c:dLbl>
              <c:idx val="4"/>
              <c:numFmt formatCode="#,##0" sourceLinked="0"/>
              <c:spPr/>
              <c:txPr>
                <a:bodyPr/>
                <a:lstStyle/>
                <a:p>
                  <a:pPr>
                    <a:defRPr sz="400">
                      <a:solidFill>
                        <a:srgbClr val="FF0000"/>
                      </a:solidFill>
                    </a:defRPr>
                  </a:pPr>
                  <a:endParaRPr lang="es-MX"/>
                </a:p>
              </c:txPr>
            </c:dLbl>
            <c:dLbl>
              <c:idx val="5"/>
              <c:numFmt formatCode="#,##0" sourceLinked="0"/>
              <c:spPr/>
              <c:txPr>
                <a:bodyPr/>
                <a:lstStyle/>
                <a:p>
                  <a:pPr>
                    <a:defRPr sz="400">
                      <a:solidFill>
                        <a:srgbClr val="FF0000"/>
                      </a:solidFill>
                    </a:defRPr>
                  </a:pPr>
                  <a:endParaRPr lang="es-MX"/>
                </a:p>
              </c:txPr>
            </c:dLbl>
            <c:dLbl>
              <c:idx val="6"/>
              <c:numFmt formatCode="#,##0" sourceLinked="0"/>
              <c:spPr/>
              <c:txPr>
                <a:bodyPr/>
                <a:lstStyle/>
                <a:p>
                  <a:pPr>
                    <a:defRPr sz="400">
                      <a:solidFill>
                        <a:srgbClr val="FF0000"/>
                      </a:solidFill>
                    </a:defRPr>
                  </a:pPr>
                  <a:endParaRPr lang="es-MX"/>
                </a:p>
              </c:txPr>
            </c:dLbl>
            <c:dLbl>
              <c:idx val="7"/>
              <c:numFmt formatCode="#,##0" sourceLinked="0"/>
              <c:spPr/>
              <c:txPr>
                <a:bodyPr/>
                <a:lstStyle/>
                <a:p>
                  <a:pPr>
                    <a:defRPr sz="400">
                      <a:solidFill>
                        <a:srgbClr val="FF0000"/>
                      </a:solidFill>
                    </a:defRPr>
                  </a:pPr>
                  <a:endParaRPr lang="es-MX"/>
                </a:p>
              </c:txPr>
            </c:dLbl>
            <c:dLbl>
              <c:idx val="8"/>
              <c:numFmt formatCode="#,##0" sourceLinked="0"/>
              <c:spPr/>
              <c:txPr>
                <a:bodyPr/>
                <a:lstStyle/>
                <a:p>
                  <a:pPr>
                    <a:defRPr sz="400">
                      <a:solidFill>
                        <a:srgbClr val="FF0000"/>
                      </a:solidFill>
                    </a:defRPr>
                  </a:pPr>
                  <a:endParaRPr lang="es-MX"/>
                </a:p>
              </c:txPr>
            </c:dLbl>
            <c:dLbl>
              <c:idx val="9"/>
              <c:numFmt formatCode="#,##0" sourceLinked="0"/>
              <c:spPr/>
              <c:txPr>
                <a:bodyPr/>
                <a:lstStyle/>
                <a:p>
                  <a:pPr>
                    <a:defRPr sz="400">
                      <a:solidFill>
                        <a:srgbClr val="FF0000"/>
                      </a:solidFill>
                    </a:defRPr>
                  </a:pPr>
                  <a:endParaRPr lang="es-MX"/>
                </a:p>
              </c:txPr>
            </c:dLbl>
            <c:dLbl>
              <c:idx val="10"/>
              <c:layout>
                <c:manualLayout>
                  <c:x val="-1.4964432959929504E-2"/>
                  <c:y val="1.9020882832559885E-2"/>
                </c:manualLayout>
              </c:layout>
              <c:numFmt formatCode="#,##0" sourceLinked="0"/>
              <c:spPr/>
              <c:txPr>
                <a:bodyPr/>
                <a:lstStyle/>
                <a:p>
                  <a:pPr>
                    <a:defRPr sz="400">
                      <a:solidFill>
                        <a:srgbClr val="FF0000"/>
                      </a:solidFill>
                    </a:defRPr>
                  </a:pPr>
                  <a:endParaRPr lang="es-MX"/>
                </a:p>
              </c:txPr>
              <c:showVal val="1"/>
              <c:showCatName val="1"/>
            </c:dLbl>
            <c:dLbl>
              <c:idx val="11"/>
              <c:numFmt formatCode="#,##0" sourceLinked="0"/>
              <c:spPr/>
              <c:txPr>
                <a:bodyPr/>
                <a:lstStyle/>
                <a:p>
                  <a:pPr>
                    <a:defRPr sz="400">
                      <a:solidFill>
                        <a:srgbClr val="FF0000"/>
                      </a:solidFill>
                    </a:defRPr>
                  </a:pPr>
                  <a:endParaRPr lang="es-MX"/>
                </a:p>
              </c:txPr>
            </c:dLbl>
            <c:numFmt formatCode="#,##0" sourceLinked="0"/>
            <c:txPr>
              <a:bodyPr/>
              <a:lstStyle/>
              <a:p>
                <a:pPr>
                  <a:defRPr sz="400"/>
                </a:pPr>
                <a:endParaRPr lang="es-MX"/>
              </a:p>
            </c:txPr>
            <c:showVal val="1"/>
            <c:showCatName val="1"/>
          </c:dLbls>
          <c:cat>
            <c:strRef>
              <c:f>'Déficit-Superávit'!$A$19:$A$33</c:f>
              <c:strCache>
                <c:ptCount val="15"/>
                <c:pt idx="0">
                  <c:v>Agricultura, ganadería, forestal, pesca y caza</c:v>
                </c:pt>
                <c:pt idx="1">
                  <c:v>Servicios de salud y de asistencia social</c:v>
                </c:pt>
                <c:pt idx="2">
                  <c:v>Construcción</c:v>
                </c:pt>
                <c:pt idx="3">
                  <c:v>Servicios de alojamiento temporal y preparación de alimentos y bebidas</c:v>
                </c:pt>
                <c:pt idx="4">
                  <c:v>Otros Servicios Excepto actividades del Gobierno (servicios técnicos)</c:v>
                </c:pt>
                <c:pt idx="5">
                  <c:v>Servicios de esparcimiento culturales y deportivos, y recreativos</c:v>
                </c:pt>
                <c:pt idx="6">
                  <c:v>Comercio- menudeo</c:v>
                </c:pt>
                <c:pt idx="7">
                  <c:v>Servicios financieros, seguros, servicios inmobiliarios y de alquiler</c:v>
                </c:pt>
                <c:pt idx="8">
                  <c:v>Servicios educativos</c:v>
                </c:pt>
                <c:pt idx="9">
                  <c:v>Servicios profesionales, científicos y técnicos, y otros </c:v>
                </c:pt>
                <c:pt idx="10">
                  <c:v>Trasportes, correos, almacenamiento e información </c:v>
                </c:pt>
                <c:pt idx="11">
                  <c:v>Comercio- mayoreo</c:v>
                </c:pt>
                <c:pt idx="12">
                  <c:v>Electricidad, agua y gas </c:v>
                </c:pt>
                <c:pt idx="13">
                  <c:v>Industrias manufactureras</c:v>
                </c:pt>
                <c:pt idx="14">
                  <c:v>Minería</c:v>
                </c:pt>
              </c:strCache>
            </c:strRef>
          </c:cat>
          <c:val>
            <c:numRef>
              <c:f>'Déficit-Superávit'!$B$19:$B$33</c:f>
              <c:numCache>
                <c:formatCode>#,##0</c:formatCode>
                <c:ptCount val="15"/>
                <c:pt idx="0">
                  <c:v>-74105.842975205378</c:v>
                </c:pt>
                <c:pt idx="1">
                  <c:v>-68547.276816608995</c:v>
                </c:pt>
                <c:pt idx="2">
                  <c:v>-64054.591961241575</c:v>
                </c:pt>
                <c:pt idx="3">
                  <c:v>-63513.105759377002</c:v>
                </c:pt>
                <c:pt idx="4">
                  <c:v>-62629.249877989256</c:v>
                </c:pt>
                <c:pt idx="5">
                  <c:v>-61276.791122713796</c:v>
                </c:pt>
                <c:pt idx="6">
                  <c:v>-59455.960881676161</c:v>
                </c:pt>
                <c:pt idx="7">
                  <c:v>-59449.103939647946</c:v>
                </c:pt>
                <c:pt idx="8">
                  <c:v>-48508.559485530524</c:v>
                </c:pt>
                <c:pt idx="9">
                  <c:v>-39912.624894013905</c:v>
                </c:pt>
                <c:pt idx="10">
                  <c:v>-25517.277546488611</c:v>
                </c:pt>
                <c:pt idx="11">
                  <c:v>-18833.391359593392</c:v>
                </c:pt>
                <c:pt idx="12">
                  <c:v>20721.396624472556</c:v>
                </c:pt>
                <c:pt idx="13">
                  <c:v>157684.76126424992</c:v>
                </c:pt>
                <c:pt idx="14">
                  <c:v>268816.33333333622</c:v>
                </c:pt>
              </c:numCache>
            </c:numRef>
          </c:val>
        </c:ser>
        <c:axId val="69515904"/>
        <c:axId val="69525888"/>
      </c:barChart>
      <c:catAx>
        <c:axId val="69515904"/>
        <c:scaling>
          <c:orientation val="minMax"/>
        </c:scaling>
        <c:axPos val="l"/>
        <c:majorTickMark val="none"/>
        <c:tickLblPos val="none"/>
        <c:crossAx val="69525888"/>
        <c:crosses val="autoZero"/>
        <c:auto val="1"/>
        <c:lblAlgn val="ctr"/>
        <c:lblOffset val="100"/>
      </c:catAx>
      <c:valAx>
        <c:axId val="69525888"/>
        <c:scaling>
          <c:orientation val="minMax"/>
        </c:scaling>
        <c:delete val="1"/>
        <c:axPos val="b"/>
        <c:numFmt formatCode="#,##0" sourceLinked="1"/>
        <c:majorTickMark val="none"/>
        <c:tickLblPos val="none"/>
        <c:crossAx val="69515904"/>
        <c:crosses val="autoZero"/>
        <c:crossBetween val="between"/>
      </c:valAx>
    </c:plotArea>
    <c:plotVisOnly val="1"/>
    <c:dispBlanksAs val="gap"/>
  </c:chart>
  <c:spPr>
    <a:effectLst>
      <a:outerShdw blurRad="50800" dist="38100" dir="2700000" algn="tl" rotWithShape="0">
        <a:prstClr val="black">
          <a:alpha val="40000"/>
        </a:prstClr>
      </a:outerShdw>
    </a:effectLst>
  </c:spPr>
  <c:externalData r:id="rId1"/>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REMUNERACIONES</a:t>
            </a:r>
            <a:r>
              <a:rPr lang="es-MX" sz="1100" baseline="0"/>
              <a:t> POR PERSONA OCUPADA POR MUNICIPIO</a:t>
            </a:r>
          </a:p>
          <a:p>
            <a:pPr>
              <a:defRPr/>
            </a:pPr>
            <a:r>
              <a:rPr lang="es-MX" sz="1100" baseline="0"/>
              <a:t>(Pesos Corrientes)</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9"/>
            <c:spPr>
              <a:solidFill>
                <a:schemeClr val="tx2">
                  <a:lumMod val="60000"/>
                  <a:lumOff val="40000"/>
                </a:schemeClr>
              </a:solidFill>
              <a:effectLst>
                <a:outerShdw blurRad="50800" dist="38100" dir="2700000" algn="tl" rotWithShape="0">
                  <a:prstClr val="black">
                    <a:alpha val="40000"/>
                  </a:prstClr>
                </a:outerShdw>
              </a:effectLst>
              <a:scene3d>
                <a:camera prst="orthographicFront"/>
                <a:lightRig rig="threePt" dir="t"/>
              </a:scene3d>
              <a:sp3d>
                <a:bevelT/>
              </a:sp3d>
            </c:spPr>
          </c:dPt>
          <c:dPt>
            <c:idx val="24"/>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txPr>
              <a:bodyPr/>
              <a:lstStyle/>
              <a:p>
                <a:pPr>
                  <a:defRPr sz="800"/>
                </a:pPr>
                <a:endParaRPr lang="es-MX"/>
              </a:p>
            </c:txPr>
            <c:showVal val="1"/>
          </c:dLbls>
          <c:cat>
            <c:strRef>
              <c:f>'La productividad del trabajo'!$A$2:$A$31</c:f>
              <c:strCache>
                <c:ptCount val="30"/>
                <c:pt idx="0">
                  <c:v>CÓRDOBA</c:v>
                </c:pt>
                <c:pt idx="1">
                  <c:v>BANDERILLA</c:v>
                </c:pt>
                <c:pt idx="2">
                  <c:v>CHINAMECA</c:v>
                </c:pt>
                <c:pt idx="3">
                  <c:v>FORTÍN</c:v>
                </c:pt>
                <c:pt idx="4">
                  <c:v>PASO DEL MACHO</c:v>
                </c:pt>
                <c:pt idx="5">
                  <c:v>ORIZABA</c:v>
                </c:pt>
                <c:pt idx="6">
                  <c:v>PUENTE NACIONAL</c:v>
                </c:pt>
                <c:pt idx="7">
                  <c:v>TLALNELHUAYOCAN</c:v>
                </c:pt>
                <c:pt idx="8">
                  <c:v>BOCA DEL RÍO </c:v>
                </c:pt>
                <c:pt idx="9">
                  <c:v>ESTADO DE VERACRUZ</c:v>
                </c:pt>
                <c:pt idx="10">
                  <c:v>DE TEJADA</c:v>
                </c:pt>
                <c:pt idx="11">
                  <c:v>JESÚS CARRANZA</c:v>
                </c:pt>
                <c:pt idx="12">
                  <c:v>ÚRSULO GALVÁN</c:v>
                </c:pt>
                <c:pt idx="13">
                  <c:v>TRES VALLES</c:v>
                </c:pt>
                <c:pt idx="14">
                  <c:v>FILOMENO MATA</c:v>
                </c:pt>
                <c:pt idx="15">
                  <c:v>TEZONAPA</c:v>
                </c:pt>
                <c:pt idx="16">
                  <c:v>MINATITLÁN</c:v>
                </c:pt>
                <c:pt idx="17">
                  <c:v>IXTACZOQUITLÁN</c:v>
                </c:pt>
                <c:pt idx="18">
                  <c:v>HUILOAPAN</c:v>
                </c:pt>
                <c:pt idx="19">
                  <c:v>POZA RICA DE HIDALGO</c:v>
                </c:pt>
                <c:pt idx="20">
                  <c:v>EL HIGO</c:v>
                </c:pt>
                <c:pt idx="21">
                  <c:v>IXHUATLÁN DEL SURESTE</c:v>
                </c:pt>
                <c:pt idx="22">
                  <c:v>COSOLEACAQUE</c:v>
                </c:pt>
                <c:pt idx="23">
                  <c:v>VERACRUZ</c:v>
                </c:pt>
                <c:pt idx="24">
                  <c:v>COATZACOALCOS</c:v>
                </c:pt>
                <c:pt idx="25">
                  <c:v>CARLOS A. CARRILLO</c:v>
                </c:pt>
                <c:pt idx="26">
                  <c:v>CUICHAPA</c:v>
                </c:pt>
                <c:pt idx="27">
                  <c:v>ATOYAC</c:v>
                </c:pt>
                <c:pt idx="28">
                  <c:v>AGUA DULCE</c:v>
                </c:pt>
                <c:pt idx="29">
                  <c:v>COTAXTLA</c:v>
                </c:pt>
              </c:strCache>
            </c:strRef>
          </c:cat>
          <c:val>
            <c:numRef>
              <c:f>'La productividad del trabajo'!$B$2:$B$31</c:f>
              <c:numCache>
                <c:formatCode>#,##0</c:formatCode>
                <c:ptCount val="30"/>
                <c:pt idx="0">
                  <c:v>33276</c:v>
                </c:pt>
                <c:pt idx="1">
                  <c:v>34777</c:v>
                </c:pt>
                <c:pt idx="2">
                  <c:v>34977</c:v>
                </c:pt>
                <c:pt idx="3">
                  <c:v>35044</c:v>
                </c:pt>
                <c:pt idx="4">
                  <c:v>35303</c:v>
                </c:pt>
                <c:pt idx="5">
                  <c:v>35576</c:v>
                </c:pt>
                <c:pt idx="6">
                  <c:v>35611</c:v>
                </c:pt>
                <c:pt idx="7">
                  <c:v>40597</c:v>
                </c:pt>
                <c:pt idx="8">
                  <c:v>42673</c:v>
                </c:pt>
                <c:pt idx="9">
                  <c:v>43794</c:v>
                </c:pt>
                <c:pt idx="10">
                  <c:v>46709</c:v>
                </c:pt>
                <c:pt idx="11">
                  <c:v>50540</c:v>
                </c:pt>
                <c:pt idx="12">
                  <c:v>52045</c:v>
                </c:pt>
                <c:pt idx="13">
                  <c:v>52354</c:v>
                </c:pt>
                <c:pt idx="14">
                  <c:v>54708</c:v>
                </c:pt>
                <c:pt idx="15">
                  <c:v>55859</c:v>
                </c:pt>
                <c:pt idx="16">
                  <c:v>56553</c:v>
                </c:pt>
                <c:pt idx="17">
                  <c:v>61489</c:v>
                </c:pt>
                <c:pt idx="18">
                  <c:v>66708</c:v>
                </c:pt>
                <c:pt idx="19">
                  <c:v>67066</c:v>
                </c:pt>
                <c:pt idx="20">
                  <c:v>67450</c:v>
                </c:pt>
                <c:pt idx="21">
                  <c:v>73175</c:v>
                </c:pt>
                <c:pt idx="22">
                  <c:v>74080</c:v>
                </c:pt>
                <c:pt idx="23">
                  <c:v>75366</c:v>
                </c:pt>
                <c:pt idx="24">
                  <c:v>79517</c:v>
                </c:pt>
                <c:pt idx="25">
                  <c:v>81885</c:v>
                </c:pt>
                <c:pt idx="26">
                  <c:v>82137</c:v>
                </c:pt>
                <c:pt idx="27">
                  <c:v>109352</c:v>
                </c:pt>
                <c:pt idx="28">
                  <c:v>119146</c:v>
                </c:pt>
                <c:pt idx="29">
                  <c:v>147995</c:v>
                </c:pt>
              </c:numCache>
            </c:numRef>
          </c:val>
        </c:ser>
        <c:dLbls>
          <c:showVal val="1"/>
        </c:dLbls>
        <c:shape val="box"/>
        <c:axId val="78071296"/>
        <c:axId val="78072832"/>
        <c:axId val="0"/>
      </c:bar3DChart>
      <c:catAx>
        <c:axId val="78071296"/>
        <c:scaling>
          <c:orientation val="minMax"/>
        </c:scaling>
        <c:axPos val="l"/>
        <c:numFmt formatCode="General" sourceLinked="1"/>
        <c:majorTickMark val="none"/>
        <c:tickLblPos val="nextTo"/>
        <c:txPr>
          <a:bodyPr/>
          <a:lstStyle/>
          <a:p>
            <a:pPr>
              <a:defRPr sz="600"/>
            </a:pPr>
            <a:endParaRPr lang="es-MX"/>
          </a:p>
        </c:txPr>
        <c:crossAx val="78072832"/>
        <c:crosses val="autoZero"/>
        <c:auto val="1"/>
        <c:lblAlgn val="ctr"/>
        <c:lblOffset val="100"/>
      </c:catAx>
      <c:valAx>
        <c:axId val="78072832"/>
        <c:scaling>
          <c:orientation val="minMax"/>
        </c:scaling>
        <c:delete val="1"/>
        <c:axPos val="b"/>
        <c:numFmt formatCode="#,##0" sourceLinked="1"/>
        <c:tickLblPos val="none"/>
        <c:crossAx val="78071296"/>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lgn="ctr">
              <a:defRPr/>
            </a:pPr>
            <a:r>
              <a:rPr lang="es-MX" sz="1100"/>
              <a:t>PRODUCTIVIDAD</a:t>
            </a:r>
            <a:r>
              <a:rPr lang="es-MX" sz="1100" baseline="0"/>
              <a:t> DEL TRABAJO. PRINCIPALES MUNICIPIOS</a:t>
            </a:r>
          </a:p>
          <a:p>
            <a:pPr algn="ctr">
              <a:defRPr/>
            </a:pPr>
            <a:r>
              <a:rPr lang="es-MX" sz="1100" baseline="0"/>
              <a:t>(Pesos corrientes)</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manualLayout>
          <c:layoutTarget val="inner"/>
          <c:xMode val="edge"/>
          <c:yMode val="edge"/>
          <c:x val="0.27617958735148412"/>
          <c:y val="0.15476787061536654"/>
          <c:w val="0.67085866767938984"/>
          <c:h val="0.82618338699564331"/>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13"/>
            <c:spPr>
              <a:solidFill>
                <a:schemeClr val="tx2">
                  <a:lumMod val="60000"/>
                  <a:lumOff val="40000"/>
                </a:schemeClr>
              </a:solidFill>
              <a:effectLst>
                <a:outerShdw blurRad="50800" dist="38100" dir="2700000" algn="tl" rotWithShape="0">
                  <a:prstClr val="black">
                    <a:alpha val="40000"/>
                  </a:prstClr>
                </a:outerShdw>
              </a:effectLst>
              <a:scene3d>
                <a:camera prst="orthographicFront"/>
                <a:lightRig rig="threePt" dir="t"/>
              </a:scene3d>
              <a:sp3d>
                <a:bevelT/>
              </a:sp3d>
            </c:spPr>
          </c:dPt>
          <c:dPt>
            <c:idx val="26"/>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txPr>
              <a:bodyPr/>
              <a:lstStyle/>
              <a:p>
                <a:pPr>
                  <a:defRPr sz="600"/>
                </a:pPr>
                <a:endParaRPr lang="es-MX"/>
              </a:p>
            </c:txPr>
            <c:showVal val="1"/>
          </c:dLbls>
          <c:cat>
            <c:strRef>
              <c:f>'La productividad del trabajo2'!$A$1:$A$38</c:f>
              <c:strCache>
                <c:ptCount val="38"/>
                <c:pt idx="0">
                  <c:v>CÓRDOBA</c:v>
                </c:pt>
                <c:pt idx="1">
                  <c:v>MARTÍNEZ DE LA TORRE</c:v>
                </c:pt>
                <c:pt idx="2">
                  <c:v>ANGEL R. CABADA</c:v>
                </c:pt>
                <c:pt idx="3">
                  <c:v>COSAMALOAPAN DE CARPIO</c:v>
                </c:pt>
                <c:pt idx="4">
                  <c:v>PUENTE NACIONAL</c:v>
                </c:pt>
                <c:pt idx="5">
                  <c:v>JALTIPAN</c:v>
                </c:pt>
                <c:pt idx="6">
                  <c:v>FORTÍN</c:v>
                </c:pt>
                <c:pt idx="7">
                  <c:v>BANDERILLA</c:v>
                </c:pt>
                <c:pt idx="8">
                  <c:v>SAN JUAN EVANGELISTA</c:v>
                </c:pt>
                <c:pt idx="9">
                  <c:v>AMATLÁN DE LOS REYES</c:v>
                </c:pt>
                <c:pt idx="10">
                  <c:v>CARLOS A. CARRILLO</c:v>
                </c:pt>
                <c:pt idx="11">
                  <c:v>TRES VALLES</c:v>
                </c:pt>
                <c:pt idx="12">
                  <c:v>EL HIGO</c:v>
                </c:pt>
                <c:pt idx="13">
                  <c:v>ESTADO DE VERACRUZ</c:v>
                </c:pt>
                <c:pt idx="14">
                  <c:v>ORIZABA</c:v>
                </c:pt>
                <c:pt idx="15">
                  <c:v>JESÚS CARRANZA</c:v>
                </c:pt>
                <c:pt idx="16">
                  <c:v>CUITLÁHUAC</c:v>
                </c:pt>
                <c:pt idx="17">
                  <c:v>TEZONAPA</c:v>
                </c:pt>
                <c:pt idx="18">
                  <c:v>POZA RICA DE HIDALGO</c:v>
                </c:pt>
                <c:pt idx="19">
                  <c:v>MINATITLÁN</c:v>
                </c:pt>
                <c:pt idx="20">
                  <c:v>VERACRUZ</c:v>
                </c:pt>
                <c:pt idx="21">
                  <c:v>SANTIAGO TUXTLA</c:v>
                </c:pt>
                <c:pt idx="22">
                  <c:v>YANGA</c:v>
                </c:pt>
                <c:pt idx="23">
                  <c:v>COSOLEACAQUE</c:v>
                </c:pt>
                <c:pt idx="24">
                  <c:v>TÚXPAM</c:v>
                </c:pt>
                <c:pt idx="25">
                  <c:v>BOCA DEL RÍO</c:v>
                </c:pt>
                <c:pt idx="26">
                  <c:v>COATZACOALCOS</c:v>
                </c:pt>
                <c:pt idx="27">
                  <c:v>MEDELLÍN</c:v>
                </c:pt>
                <c:pt idx="28">
                  <c:v>OLUTA</c:v>
                </c:pt>
                <c:pt idx="29">
                  <c:v>CUICHAPA</c:v>
                </c:pt>
                <c:pt idx="30">
                  <c:v>COATEPEC</c:v>
                </c:pt>
                <c:pt idx="31">
                  <c:v>TUXTILLA</c:v>
                </c:pt>
                <c:pt idx="32">
                  <c:v>LAS MINAS</c:v>
                </c:pt>
                <c:pt idx="33">
                  <c:v>IXHUATLÁN DEL SURESTE</c:v>
                </c:pt>
                <c:pt idx="34">
                  <c:v>IXTACZOQUITLÁN</c:v>
                </c:pt>
                <c:pt idx="35">
                  <c:v>COTAXTLA</c:v>
                </c:pt>
                <c:pt idx="36">
                  <c:v>AGUA DULCE</c:v>
                </c:pt>
                <c:pt idx="37">
                  <c:v>JAMAPA</c:v>
                </c:pt>
              </c:strCache>
            </c:strRef>
          </c:cat>
          <c:val>
            <c:numRef>
              <c:f>'La productividad del trabajo2'!$B$1:$B$38</c:f>
              <c:numCache>
                <c:formatCode>#,##0</c:formatCode>
                <c:ptCount val="38"/>
                <c:pt idx="0">
                  <c:v>99445</c:v>
                </c:pt>
                <c:pt idx="1">
                  <c:v>101337</c:v>
                </c:pt>
                <c:pt idx="2">
                  <c:v>102395</c:v>
                </c:pt>
                <c:pt idx="3">
                  <c:v>103420</c:v>
                </c:pt>
                <c:pt idx="4">
                  <c:v>108487</c:v>
                </c:pt>
                <c:pt idx="5">
                  <c:v>115486</c:v>
                </c:pt>
                <c:pt idx="6">
                  <c:v>116614</c:v>
                </c:pt>
                <c:pt idx="7">
                  <c:v>119776</c:v>
                </c:pt>
                <c:pt idx="8">
                  <c:v>124762</c:v>
                </c:pt>
                <c:pt idx="9">
                  <c:v>127037</c:v>
                </c:pt>
                <c:pt idx="10">
                  <c:v>127182</c:v>
                </c:pt>
                <c:pt idx="11">
                  <c:v>135010</c:v>
                </c:pt>
                <c:pt idx="12">
                  <c:v>142908</c:v>
                </c:pt>
                <c:pt idx="13">
                  <c:v>145467</c:v>
                </c:pt>
                <c:pt idx="14">
                  <c:v>146273</c:v>
                </c:pt>
                <c:pt idx="15">
                  <c:v>152996</c:v>
                </c:pt>
                <c:pt idx="16">
                  <c:v>153383</c:v>
                </c:pt>
                <c:pt idx="17">
                  <c:v>164883</c:v>
                </c:pt>
                <c:pt idx="18">
                  <c:v>170170</c:v>
                </c:pt>
                <c:pt idx="19">
                  <c:v>187529</c:v>
                </c:pt>
                <c:pt idx="20">
                  <c:v>190984</c:v>
                </c:pt>
                <c:pt idx="21">
                  <c:v>197777</c:v>
                </c:pt>
                <c:pt idx="22">
                  <c:v>200689</c:v>
                </c:pt>
                <c:pt idx="23">
                  <c:v>203661</c:v>
                </c:pt>
                <c:pt idx="24">
                  <c:v>211167</c:v>
                </c:pt>
                <c:pt idx="25">
                  <c:v>216478</c:v>
                </c:pt>
                <c:pt idx="26">
                  <c:v>217637</c:v>
                </c:pt>
                <c:pt idx="27">
                  <c:v>235619</c:v>
                </c:pt>
                <c:pt idx="28">
                  <c:v>242495</c:v>
                </c:pt>
                <c:pt idx="29">
                  <c:v>249487</c:v>
                </c:pt>
                <c:pt idx="30">
                  <c:v>302029</c:v>
                </c:pt>
                <c:pt idx="31">
                  <c:v>362049</c:v>
                </c:pt>
                <c:pt idx="32">
                  <c:v>387154</c:v>
                </c:pt>
                <c:pt idx="33">
                  <c:v>516885</c:v>
                </c:pt>
                <c:pt idx="34">
                  <c:v>556717</c:v>
                </c:pt>
                <c:pt idx="35">
                  <c:v>569257</c:v>
                </c:pt>
                <c:pt idx="36">
                  <c:v>686297</c:v>
                </c:pt>
                <c:pt idx="37">
                  <c:v>2425146</c:v>
                </c:pt>
              </c:numCache>
            </c:numRef>
          </c:val>
        </c:ser>
        <c:dLbls>
          <c:showVal val="1"/>
        </c:dLbls>
        <c:gapWidth val="100"/>
        <c:shape val="box"/>
        <c:axId val="78110080"/>
        <c:axId val="78185600"/>
        <c:axId val="0"/>
      </c:bar3DChart>
      <c:catAx>
        <c:axId val="78110080"/>
        <c:scaling>
          <c:orientation val="minMax"/>
        </c:scaling>
        <c:axPos val="l"/>
        <c:numFmt formatCode="General" sourceLinked="1"/>
        <c:majorTickMark val="none"/>
        <c:tickLblPos val="nextTo"/>
        <c:txPr>
          <a:bodyPr/>
          <a:lstStyle/>
          <a:p>
            <a:pPr>
              <a:defRPr sz="500"/>
            </a:pPr>
            <a:endParaRPr lang="es-MX"/>
          </a:p>
        </c:txPr>
        <c:crossAx val="78185600"/>
        <c:crosses val="autoZero"/>
        <c:auto val="1"/>
        <c:lblAlgn val="ctr"/>
        <c:lblOffset val="100"/>
      </c:catAx>
      <c:valAx>
        <c:axId val="78185600"/>
        <c:scaling>
          <c:orientation val="minMax"/>
        </c:scaling>
        <c:delete val="1"/>
        <c:axPos val="b"/>
        <c:numFmt formatCode="#,##0" sourceLinked="1"/>
        <c:tickLblPos val="none"/>
        <c:crossAx val="78110080"/>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Productividad del trabajo según el sector de actividad. (pesos corrientes)</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manualLayout>
          <c:layoutTarget val="inner"/>
          <c:xMode val="edge"/>
          <c:yMode val="edge"/>
          <c:x val="0.44227390772095831"/>
          <c:y val="0.15375472296732404"/>
          <c:w val="0.53081828739573267"/>
          <c:h val="0.80595223673963834"/>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'Coeficiente de productividad'!$A$3:$A$12</c:f>
              <c:strCache>
                <c:ptCount val="10"/>
                <c:pt idx="0">
                  <c:v> Industrias Manufactureras</c:v>
                </c:pt>
                <c:pt idx="1">
                  <c:v>Mineria</c:v>
                </c:pt>
                <c:pt idx="2">
                  <c:v>Comercio al por Mayor</c:v>
                </c:pt>
                <c:pt idx="3">
                  <c:v> Información en Medios Masivos</c:v>
                </c:pt>
                <c:pt idx="4">
                  <c:v>Trasportes, Correos y Almacenamiento</c:v>
                </c:pt>
                <c:pt idx="5">
                  <c:v>Comercio al por Menor</c:v>
                </c:pt>
                <c:pt idx="6">
                  <c:v>Servicios Financieros y de Seguros</c:v>
                </c:pt>
                <c:pt idx="7">
                  <c:v>Electricidad, Agua y Suministro de Gas por Ductos al Consumidor Final</c:v>
                </c:pt>
                <c:pt idx="8">
                  <c:v>Construcción</c:v>
                </c:pt>
                <c:pt idx="9">
                  <c:v>Agricultura, Ganaderia, Aprovechamiento Forestal, Pesca y Caza</c:v>
                </c:pt>
              </c:strCache>
            </c:strRef>
          </c:cat>
          <c:val>
            <c:numRef>
              <c:f>'Coeficiente de productividad'!$B$3:$B$12</c:f>
              <c:numCache>
                <c:formatCode>0.00</c:formatCode>
                <c:ptCount val="10"/>
                <c:pt idx="0">
                  <c:v>620.95958742988114</c:v>
                </c:pt>
                <c:pt idx="1">
                  <c:v>307.20833333333331</c:v>
                </c:pt>
                <c:pt idx="2">
                  <c:v>183.10393900889454</c:v>
                </c:pt>
                <c:pt idx="3">
                  <c:v>154.75961538461539</c:v>
                </c:pt>
                <c:pt idx="4">
                  <c:v>129.44022591779247</c:v>
                </c:pt>
                <c:pt idx="5">
                  <c:v>105.85587985951211</c:v>
                </c:pt>
                <c:pt idx="6">
                  <c:v>69.676470588235219</c:v>
                </c:pt>
                <c:pt idx="7">
                  <c:v>52.972573839662445</c:v>
                </c:pt>
                <c:pt idx="8">
                  <c:v>46.891620312219594</c:v>
                </c:pt>
                <c:pt idx="9">
                  <c:v>9.5537190082644727</c:v>
                </c:pt>
              </c:numCache>
            </c:numRef>
          </c:val>
        </c:ser>
        <c:dLbls>
          <c:showVal val="1"/>
        </c:dLbls>
        <c:gapWidth val="90"/>
        <c:shape val="box"/>
        <c:axId val="78218368"/>
        <c:axId val="78219904"/>
        <c:axId val="0"/>
      </c:bar3DChart>
      <c:catAx>
        <c:axId val="78218368"/>
        <c:scaling>
          <c:orientation val="minMax"/>
        </c:scaling>
        <c:axPos val="l"/>
        <c:numFmt formatCode="General" sourceLinked="1"/>
        <c:majorTickMark val="none"/>
        <c:tickLblPos val="nextTo"/>
        <c:txPr>
          <a:bodyPr/>
          <a:lstStyle/>
          <a:p>
            <a:pPr>
              <a:defRPr sz="700"/>
            </a:pPr>
            <a:endParaRPr lang="es-MX"/>
          </a:p>
        </c:txPr>
        <c:crossAx val="78219904"/>
        <c:crosses val="autoZero"/>
        <c:auto val="1"/>
        <c:lblAlgn val="ctr"/>
        <c:lblOffset val="100"/>
      </c:catAx>
      <c:valAx>
        <c:axId val="78219904"/>
        <c:scaling>
          <c:orientation val="minMax"/>
        </c:scaling>
        <c:delete val="1"/>
        <c:axPos val="b"/>
        <c:numFmt formatCode="0.00" sourceLinked="1"/>
        <c:tickLblPos val="none"/>
        <c:crossAx val="78218368"/>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latin typeface="Arial" pitchFamily="34" charset="0"/>
                <a:cs typeface="Arial" pitchFamily="34" charset="0"/>
              </a:rPr>
              <a:t>ESTADO.</a:t>
            </a:r>
            <a:r>
              <a:rPr lang="es-MX" sz="1100" b="0" baseline="0">
                <a:latin typeface="Arial" pitchFamily="34" charset="0"/>
                <a:cs typeface="Arial" pitchFamily="34" charset="0"/>
              </a:rPr>
              <a:t> COEFICIENTE DE PRODUCTIVIDAD POR PRINCIPALES MUNICIPIOS. 2006</a:t>
            </a:r>
            <a:endParaRPr lang="es-MX" sz="1100" b="0">
              <a:latin typeface="Arial" pitchFamily="34" charset="0"/>
              <a:cs typeface="Arial" pitchFamily="34" charset="0"/>
            </a:endParaRPr>
          </a:p>
        </c:rich>
      </c:tx>
      <c:overlay val="1"/>
      <c:spPr>
        <a:ln>
          <a:solidFill>
            <a:schemeClr val="tx1"/>
          </a:solidFill>
        </a:ln>
        <a:effectLst>
          <a:outerShdw blurRad="50800" dist="38100" dir="2700000" algn="tl" rotWithShape="0">
            <a:prstClr val="black">
              <a:alpha val="40000"/>
            </a:prstClr>
          </a:outerShdw>
        </a:effectLst>
      </c:spPr>
    </c:title>
    <c:view3D>
      <c:rAngAx val="1"/>
    </c:view3D>
    <c:floor>
      <c:spPr>
        <a:noFill/>
        <a:ln w="9525">
          <a:noFill/>
        </a:ln>
      </c:spPr>
    </c:floor>
    <c:plotArea>
      <c:layout>
        <c:manualLayout>
          <c:layoutTarget val="inner"/>
          <c:xMode val="edge"/>
          <c:yMode val="edge"/>
          <c:x val="0.35015418619231331"/>
          <c:y val="0.12064241556582286"/>
          <c:w val="0.63230973940510116"/>
          <c:h val="0.83957484960398165"/>
        </c:manualLayout>
      </c:layout>
      <c:bar3DChart>
        <c:barDir val="bar"/>
        <c:grouping val="clustered"/>
        <c:ser>
          <c:idx val="0"/>
          <c:order val="0"/>
          <c:spPr>
            <a:solidFill>
              <a:schemeClr val="accent3"/>
            </a:solidFill>
            <a:scene3d>
              <a:camera prst="orthographicFront"/>
              <a:lightRig rig="threePt" dir="t"/>
            </a:scene3d>
            <a:sp3d>
              <a:bevelT/>
            </a:sp3d>
          </c:spPr>
          <c:dPt>
            <c:idx val="18"/>
            <c:spPr>
              <a:solidFill>
                <a:srgbClr val="FF0000"/>
              </a:solidFill>
              <a:scene3d>
                <a:camera prst="orthographicFront"/>
                <a:lightRig rig="threePt" dir="t"/>
              </a:scene3d>
              <a:sp3d>
                <a:bevelT/>
              </a:sp3d>
            </c:spPr>
          </c:dPt>
          <c:dLbls>
            <c:txPr>
              <a:bodyPr/>
              <a:lstStyle/>
              <a:p>
                <a:pPr>
                  <a:defRPr sz="800">
                    <a:latin typeface="Arial" pitchFamily="34" charset="0"/>
                    <a:cs typeface="Arial" pitchFamily="34" charset="0"/>
                  </a:defRPr>
                </a:pPr>
                <a:endParaRPr lang="es-MX"/>
              </a:p>
            </c:txPr>
            <c:showVal val="1"/>
          </c:dLbls>
          <c:cat>
            <c:strRef>
              <c:f>Hoja3!$D$2:$D$31</c:f>
              <c:strCache>
                <c:ptCount val="30"/>
                <c:pt idx="0">
                  <c:v>SAN JUAN EVANGELISTA</c:v>
                </c:pt>
                <c:pt idx="1">
                  <c:v>AMATLAN DE LOS REYES</c:v>
                </c:pt>
                <c:pt idx="2">
                  <c:v>CARLOS A. CARRILLO</c:v>
                </c:pt>
                <c:pt idx="3">
                  <c:v>TRES VALLES</c:v>
                </c:pt>
                <c:pt idx="4">
                  <c:v>EL HIGO</c:v>
                </c:pt>
                <c:pt idx="5">
                  <c:v>ESTADO</c:v>
                </c:pt>
                <c:pt idx="6">
                  <c:v>ORIZABA</c:v>
                </c:pt>
                <c:pt idx="7">
                  <c:v>JESUS CARRANZA</c:v>
                </c:pt>
                <c:pt idx="8">
                  <c:v>CUITLAHUAC</c:v>
                </c:pt>
                <c:pt idx="9">
                  <c:v>TEZONAPA</c:v>
                </c:pt>
                <c:pt idx="10">
                  <c:v>POZA RICA DE HIDALGO</c:v>
                </c:pt>
                <c:pt idx="11">
                  <c:v>MINATITLAN</c:v>
                </c:pt>
                <c:pt idx="12">
                  <c:v>VERACRUZ</c:v>
                </c:pt>
                <c:pt idx="13">
                  <c:v>SANTIAGO TUXTLA</c:v>
                </c:pt>
                <c:pt idx="14">
                  <c:v>YANGA</c:v>
                </c:pt>
                <c:pt idx="15">
                  <c:v>COSOLEACAQUE</c:v>
                </c:pt>
                <c:pt idx="16">
                  <c:v>TUXPAM</c:v>
                </c:pt>
                <c:pt idx="17">
                  <c:v>BOCA DEL RIO</c:v>
                </c:pt>
                <c:pt idx="18">
                  <c:v>COATZACOALCOS</c:v>
                </c:pt>
                <c:pt idx="19">
                  <c:v>MEDELLIN</c:v>
                </c:pt>
                <c:pt idx="20">
                  <c:v>OLUTA</c:v>
                </c:pt>
                <c:pt idx="21">
                  <c:v>CUICHAPA</c:v>
                </c:pt>
                <c:pt idx="22">
                  <c:v>COATEPEC</c:v>
                </c:pt>
                <c:pt idx="23">
                  <c:v>TUXTILLA</c:v>
                </c:pt>
                <c:pt idx="24">
                  <c:v>LAS MINAS</c:v>
                </c:pt>
                <c:pt idx="25">
                  <c:v>IXHUATLAN DEL SURESTE</c:v>
                </c:pt>
                <c:pt idx="26">
                  <c:v>IXTACZOQUITLAN</c:v>
                </c:pt>
                <c:pt idx="27">
                  <c:v>COTAXTLA</c:v>
                </c:pt>
                <c:pt idx="28">
                  <c:v>AGUA DULCE</c:v>
                </c:pt>
                <c:pt idx="29">
                  <c:v>JAMAPA</c:v>
                </c:pt>
              </c:strCache>
            </c:strRef>
          </c:cat>
          <c:val>
            <c:numRef>
              <c:f>Hoja3!$E$2:$E$31</c:f>
              <c:numCache>
                <c:formatCode>0.00</c:formatCode>
                <c:ptCount val="30"/>
                <c:pt idx="0">
                  <c:v>0.85766917664434839</c:v>
                </c:pt>
                <c:pt idx="1">
                  <c:v>0.87330424549201169</c:v>
                </c:pt>
                <c:pt idx="2">
                  <c:v>0.87430604123360001</c:v>
                </c:pt>
                <c:pt idx="3">
                  <c:v>0.92811505168731068</c:v>
                </c:pt>
                <c:pt idx="4">
                  <c:v>0.9824080562603632</c:v>
                </c:pt>
                <c:pt idx="5" formatCode="General">
                  <c:v>1</c:v>
                </c:pt>
                <c:pt idx="6">
                  <c:v>1.0055457602203213</c:v>
                </c:pt>
                <c:pt idx="7">
                  <c:v>1.0517589912618241</c:v>
                </c:pt>
                <c:pt idx="8">
                  <c:v>1.0544211309403555</c:v>
                </c:pt>
                <c:pt idx="9">
                  <c:v>1.1334746468113159</c:v>
                </c:pt>
                <c:pt idx="10">
                  <c:v>1.1698225229963701</c:v>
                </c:pt>
                <c:pt idx="11">
                  <c:v>1.28915633257357</c:v>
                </c:pt>
                <c:pt idx="12">
                  <c:v>1.3129071941629917</c:v>
                </c:pt>
                <c:pt idx="13">
                  <c:v>1.3596070070406292</c:v>
                </c:pt>
                <c:pt idx="14">
                  <c:v>1.3796231567086537</c:v>
                </c:pt>
                <c:pt idx="15">
                  <c:v>1.400053251548786</c:v>
                </c:pt>
                <c:pt idx="16">
                  <c:v>1.4516503719619041</c:v>
                </c:pt>
                <c:pt idx="17">
                  <c:v>1.488159330729524</c:v>
                </c:pt>
                <c:pt idx="18">
                  <c:v>1.4961269282391059</c:v>
                </c:pt>
                <c:pt idx="19">
                  <c:v>1.6197433655838669</c:v>
                </c:pt>
                <c:pt idx="20">
                  <c:v>1.6670114847528541</c:v>
                </c:pt>
                <c:pt idx="21">
                  <c:v>1.7150800322767783</c:v>
                </c:pt>
                <c:pt idx="22">
                  <c:v>2.0762757511550571</c:v>
                </c:pt>
                <c:pt idx="23">
                  <c:v>2.4888797325730199</c:v>
                </c:pt>
                <c:pt idx="24">
                  <c:v>2.6614615462584812</c:v>
                </c:pt>
                <c:pt idx="25">
                  <c:v>3.5532867956295289</c:v>
                </c:pt>
                <c:pt idx="26">
                  <c:v>3.8271134015619412</c:v>
                </c:pt>
                <c:pt idx="27">
                  <c:v>3.9133199757795989</c:v>
                </c:pt>
                <c:pt idx="28">
                  <c:v>4.7179011882639781</c:v>
                </c:pt>
                <c:pt idx="29">
                  <c:v>16.671495039449535</c:v>
                </c:pt>
              </c:numCache>
            </c:numRef>
          </c:val>
        </c:ser>
        <c:gapWidth val="42"/>
        <c:gapDepth val="108"/>
        <c:shape val="box"/>
        <c:axId val="78245248"/>
        <c:axId val="78251136"/>
        <c:axId val="0"/>
      </c:bar3DChart>
      <c:catAx>
        <c:axId val="78245248"/>
        <c:scaling>
          <c:orientation val="minMax"/>
        </c:scaling>
        <c:axPos val="l"/>
        <c:tickLblPos val="nextTo"/>
        <c:txPr>
          <a:bodyPr/>
          <a:lstStyle/>
          <a:p>
            <a:pPr>
              <a:defRPr sz="800">
                <a:latin typeface="Arial" pitchFamily="34" charset="0"/>
                <a:cs typeface="Arial" pitchFamily="34" charset="0"/>
              </a:defRPr>
            </a:pPr>
            <a:endParaRPr lang="es-MX"/>
          </a:p>
        </c:txPr>
        <c:crossAx val="78251136"/>
        <c:crosses val="autoZero"/>
        <c:auto val="1"/>
        <c:lblAlgn val="ctr"/>
        <c:lblOffset val="100"/>
        <c:tickLblSkip val="1"/>
      </c:catAx>
      <c:valAx>
        <c:axId val="78251136"/>
        <c:scaling>
          <c:orientation val="minMax"/>
        </c:scaling>
        <c:delete val="1"/>
        <c:axPos val="b"/>
        <c:numFmt formatCode="0.00" sourceLinked="1"/>
        <c:tickLblPos val="none"/>
        <c:crossAx val="78245248"/>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b="1"/>
            </a:pPr>
            <a:r>
              <a:rPr lang="es-MX" sz="1400" b="1"/>
              <a:t>Coatzacoalcos.</a:t>
            </a:r>
            <a:r>
              <a:rPr lang="es-MX" sz="1400" b="1" baseline="0"/>
              <a:t> Coeficiente de productividad en el comercio al por menor 2006.</a:t>
            </a:r>
            <a:endParaRPr lang="es-MX" sz="1400" b="1"/>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manualLayout>
          <c:layoutTarget val="inner"/>
          <c:xMode val="edge"/>
          <c:yMode val="edge"/>
          <c:x val="0.34756474635553308"/>
          <c:y val="0.23401372482201196"/>
          <c:w val="0.58560753851401792"/>
          <c:h val="0.71847518302143343"/>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4"/>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'Comercio al por menor'!$A$3:$A$14</c:f>
              <c:strCache>
                <c:ptCount val="12"/>
                <c:pt idx="0">
                  <c:v>BOCA DEL RIO</c:v>
                </c:pt>
                <c:pt idx="1">
                  <c:v>COTAXTLA</c:v>
                </c:pt>
                <c:pt idx="2">
                  <c:v>PUENTE NACIONAL</c:v>
                </c:pt>
                <c:pt idx="3">
                  <c:v>CHALMA</c:v>
                </c:pt>
                <c:pt idx="4">
                  <c:v>COATZACOALCOS</c:v>
                </c:pt>
                <c:pt idx="5">
                  <c:v>POZA RICA DE HIDALGO</c:v>
                </c:pt>
                <c:pt idx="6">
                  <c:v>AMATLAN DE LOS REYES</c:v>
                </c:pt>
                <c:pt idx="7">
                  <c:v>VERACRUZ</c:v>
                </c:pt>
                <c:pt idx="8">
                  <c:v>CORDOBA</c:v>
                </c:pt>
                <c:pt idx="9">
                  <c:v>MINATITLAN</c:v>
                </c:pt>
                <c:pt idx="10">
                  <c:v>TANTOYUCA</c:v>
                </c:pt>
                <c:pt idx="11">
                  <c:v>EMILIANO ZAPATA</c:v>
                </c:pt>
              </c:strCache>
            </c:strRef>
          </c:cat>
          <c:val>
            <c:numRef>
              <c:f>'Comercio al por menor'!$F$3:$F$14</c:f>
              <c:numCache>
                <c:formatCode>0.00</c:formatCode>
                <c:ptCount val="12"/>
                <c:pt idx="0">
                  <c:v>1.9959604080703948</c:v>
                </c:pt>
                <c:pt idx="1">
                  <c:v>1.9253012336795388</c:v>
                </c:pt>
                <c:pt idx="2">
                  <c:v>1.8737520847868145</c:v>
                </c:pt>
                <c:pt idx="3">
                  <c:v>1.7137586696552201</c:v>
                </c:pt>
                <c:pt idx="4">
                  <c:v>1.5812966274761338</c:v>
                </c:pt>
                <c:pt idx="5">
                  <c:v>1.3575191820653218</c:v>
                </c:pt>
                <c:pt idx="6">
                  <c:v>1.3564102154902429</c:v>
                </c:pt>
                <c:pt idx="7">
                  <c:v>1.246870542079723</c:v>
                </c:pt>
                <c:pt idx="8">
                  <c:v>1.2447153351653235</c:v>
                </c:pt>
                <c:pt idx="9">
                  <c:v>1.2336917756674088</c:v>
                </c:pt>
                <c:pt idx="10">
                  <c:v>1.1839961056924326</c:v>
                </c:pt>
                <c:pt idx="11">
                  <c:v>1.1419606745345918</c:v>
                </c:pt>
              </c:numCache>
            </c:numRef>
          </c:val>
        </c:ser>
        <c:dLbls>
          <c:showVal val="1"/>
        </c:dLbls>
        <c:gapWidth val="90"/>
        <c:shape val="box"/>
        <c:axId val="78290944"/>
        <c:axId val="78292480"/>
        <c:axId val="0"/>
      </c:bar3DChart>
      <c:catAx>
        <c:axId val="78290944"/>
        <c:scaling>
          <c:orientation val="maxMin"/>
        </c:scaling>
        <c:axPos val="l"/>
        <c:numFmt formatCode="General" sourceLinked="1"/>
        <c:majorTickMark val="none"/>
        <c:tickLblPos val="nextTo"/>
        <c:crossAx val="78292480"/>
        <c:crosses val="autoZero"/>
        <c:auto val="1"/>
        <c:lblAlgn val="ctr"/>
        <c:lblOffset val="100"/>
      </c:catAx>
      <c:valAx>
        <c:axId val="78292480"/>
        <c:scaling>
          <c:orientation val="minMax"/>
        </c:scaling>
        <c:delete val="1"/>
        <c:axPos val="b"/>
        <c:numFmt formatCode="0.00" sourceLinked="1"/>
        <c:tickLblPos val="none"/>
        <c:crossAx val="78290944"/>
        <c:crosses val="max"/>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5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Coatzacoalcos. Coeficiente</a:t>
            </a:r>
            <a:r>
              <a:rPr lang="es-MX" sz="1400" baseline="0"/>
              <a:t> de productividad en manufacturas 2006.</a:t>
            </a:r>
            <a:endParaRPr lang="es-MX" sz="14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5"/>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Manufacturas!$A$3:$A$14</c:f>
              <c:strCache>
                <c:ptCount val="12"/>
                <c:pt idx="0">
                  <c:v>IXHUATLAN DEL SURESTE</c:v>
                </c:pt>
                <c:pt idx="1">
                  <c:v>IXTACZOQUITLAN</c:v>
                </c:pt>
                <c:pt idx="2">
                  <c:v>COTAXTLA</c:v>
                </c:pt>
                <c:pt idx="3">
                  <c:v>COATEPEC</c:v>
                </c:pt>
                <c:pt idx="4">
                  <c:v>MINATITLAN</c:v>
                </c:pt>
                <c:pt idx="5">
                  <c:v>COATZACOALCOS</c:v>
                </c:pt>
                <c:pt idx="6">
                  <c:v>ORIZABA</c:v>
                </c:pt>
                <c:pt idx="7">
                  <c:v>JESUS CARRANZA</c:v>
                </c:pt>
                <c:pt idx="8">
                  <c:v>VERACRUZ</c:v>
                </c:pt>
                <c:pt idx="9">
                  <c:v>COSOLEACAQUE</c:v>
                </c:pt>
                <c:pt idx="10">
                  <c:v>MEDELLIN</c:v>
                </c:pt>
                <c:pt idx="11">
                  <c:v>TAMPICO ALTO</c:v>
                </c:pt>
              </c:strCache>
            </c:strRef>
          </c:cat>
          <c:val>
            <c:numRef>
              <c:f>Manufacturas!$F$3:$F$14</c:f>
              <c:numCache>
                <c:formatCode>0.00</c:formatCode>
                <c:ptCount val="12"/>
                <c:pt idx="0">
                  <c:v>4.3132863259235412</c:v>
                </c:pt>
                <c:pt idx="1">
                  <c:v>3.5610458113253878</c:v>
                </c:pt>
                <c:pt idx="2">
                  <c:v>3.5559123546496303</c:v>
                </c:pt>
                <c:pt idx="3">
                  <c:v>3.0050902393864805</c:v>
                </c:pt>
                <c:pt idx="4">
                  <c:v>2.1745334977187145</c:v>
                </c:pt>
                <c:pt idx="5">
                  <c:v>2.0314487461224582</c:v>
                </c:pt>
                <c:pt idx="6">
                  <c:v>1.6685098629902204</c:v>
                </c:pt>
                <c:pt idx="7">
                  <c:v>1.5796434108702551</c:v>
                </c:pt>
                <c:pt idx="8">
                  <c:v>1.4524219569375119</c:v>
                </c:pt>
                <c:pt idx="9">
                  <c:v>1.3771069945066681</c:v>
                </c:pt>
                <c:pt idx="10">
                  <c:v>1.3587687319103643</c:v>
                </c:pt>
                <c:pt idx="11">
                  <c:v>1.0548299824455918</c:v>
                </c:pt>
              </c:numCache>
            </c:numRef>
          </c:val>
        </c:ser>
        <c:dLbls>
          <c:showVal val="1"/>
        </c:dLbls>
        <c:gapWidth val="90"/>
        <c:shape val="box"/>
        <c:axId val="78321536"/>
        <c:axId val="78323072"/>
        <c:axId val="0"/>
      </c:bar3DChart>
      <c:catAx>
        <c:axId val="78321536"/>
        <c:scaling>
          <c:orientation val="maxMin"/>
        </c:scaling>
        <c:axPos val="l"/>
        <c:numFmt formatCode="General" sourceLinked="1"/>
        <c:majorTickMark val="none"/>
        <c:tickLblPos val="nextTo"/>
        <c:crossAx val="78323072"/>
        <c:crosses val="autoZero"/>
        <c:auto val="1"/>
        <c:lblAlgn val="ctr"/>
        <c:lblOffset val="100"/>
      </c:catAx>
      <c:valAx>
        <c:axId val="78323072"/>
        <c:scaling>
          <c:orientation val="minMax"/>
        </c:scaling>
        <c:delete val="1"/>
        <c:axPos val="b"/>
        <c:numFmt formatCode="0.00" sourceLinked="1"/>
        <c:tickLblPos val="none"/>
        <c:crossAx val="78321536"/>
        <c:crosses val="max"/>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nchor="ctr" anchorCtr="0"/>
          <a:lstStyle/>
          <a:p>
            <a:pPr algn="ctr">
              <a:defRPr sz="1400"/>
            </a:pPr>
            <a:r>
              <a:rPr lang="es-MX" sz="1400"/>
              <a:t>Coatzacoalcos.</a:t>
            </a:r>
            <a:r>
              <a:rPr lang="es-MX" sz="1400" baseline="0"/>
              <a:t> Coeficiente de Productividad en el Sector Minero.</a:t>
            </a:r>
            <a:endParaRPr lang="es-MX" sz="1400"/>
          </a:p>
        </c:rich>
      </c:tx>
      <c:layout>
        <c:manualLayout>
          <c:xMode val="edge"/>
          <c:yMode val="edge"/>
          <c:x val="0.18124962703361505"/>
          <c:y val="2.7777647197085652E-2"/>
        </c:manualLayout>
      </c:layout>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floor>
      <c:spPr>
        <a:noFill/>
        <a:ln w="25400">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10"/>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Mineria!$A$3:$A$14</c:f>
              <c:strCache>
                <c:ptCount val="12"/>
                <c:pt idx="0">
                  <c:v>BOCA DEL RIO</c:v>
                </c:pt>
                <c:pt idx="1">
                  <c:v>AGUA DULCE</c:v>
                </c:pt>
                <c:pt idx="2">
                  <c:v>TIHUATLAN</c:v>
                </c:pt>
                <c:pt idx="3">
                  <c:v>LAS MINAS</c:v>
                </c:pt>
                <c:pt idx="4">
                  <c:v>VERACRUZ DE IGNACIO DE LA LLAVE</c:v>
                </c:pt>
                <c:pt idx="5">
                  <c:v>POZA RICA DE HIDALGO</c:v>
                </c:pt>
                <c:pt idx="6">
                  <c:v>SAN JUAN EVANGELISTA</c:v>
                </c:pt>
                <c:pt idx="7">
                  <c:v>JALTIPAN</c:v>
                </c:pt>
                <c:pt idx="8">
                  <c:v>PUENTE NACIONAL</c:v>
                </c:pt>
                <c:pt idx="9">
                  <c:v>VERACRUZ</c:v>
                </c:pt>
                <c:pt idx="10">
                  <c:v>COATZACOALCOS</c:v>
                </c:pt>
                <c:pt idx="11">
                  <c:v>ORIZABA</c:v>
                </c:pt>
              </c:strCache>
            </c:strRef>
          </c:cat>
          <c:val>
            <c:numRef>
              <c:f>Mineria!$F$3:$F$14</c:f>
              <c:numCache>
                <c:formatCode>0.00</c:formatCode>
                <c:ptCount val="12"/>
                <c:pt idx="0">
                  <c:v>4.2563911117377504</c:v>
                </c:pt>
                <c:pt idx="1">
                  <c:v>1.1585502853922069</c:v>
                </c:pt>
                <c:pt idx="2">
                  <c:v>1.1438289399497645</c:v>
                </c:pt>
                <c:pt idx="3">
                  <c:v>1.1418167826843078</c:v>
                </c:pt>
                <c:pt idx="4">
                  <c:v>1</c:v>
                </c:pt>
                <c:pt idx="5">
                  <c:v>0.63517080395371384</c:v>
                </c:pt>
                <c:pt idx="6">
                  <c:v>0.57043418086073583</c:v>
                </c:pt>
                <c:pt idx="7">
                  <c:v>0.37124631409501152</c:v>
                </c:pt>
                <c:pt idx="8">
                  <c:v>0.30871770241636426</c:v>
                </c:pt>
                <c:pt idx="9">
                  <c:v>0.28794674502162432</c:v>
                </c:pt>
                <c:pt idx="10">
                  <c:v>0.28374166291646141</c:v>
                </c:pt>
                <c:pt idx="11">
                  <c:v>0.26355301835305772</c:v>
                </c:pt>
              </c:numCache>
            </c:numRef>
          </c:val>
        </c:ser>
        <c:dLbls>
          <c:showVal val="1"/>
        </c:dLbls>
        <c:gapWidth val="70"/>
        <c:shape val="box"/>
        <c:axId val="78360576"/>
        <c:axId val="78362112"/>
        <c:axId val="0"/>
      </c:bar3DChart>
      <c:catAx>
        <c:axId val="78360576"/>
        <c:scaling>
          <c:orientation val="maxMin"/>
        </c:scaling>
        <c:axPos val="l"/>
        <c:numFmt formatCode="General" sourceLinked="1"/>
        <c:majorTickMark val="none"/>
        <c:tickLblPos val="nextTo"/>
        <c:crossAx val="78362112"/>
        <c:crosses val="autoZero"/>
        <c:auto val="1"/>
        <c:lblAlgn val="ctr"/>
        <c:lblOffset val="100"/>
      </c:catAx>
      <c:valAx>
        <c:axId val="78362112"/>
        <c:scaling>
          <c:orientation val="minMax"/>
        </c:scaling>
        <c:delete val="1"/>
        <c:axPos val="b"/>
        <c:numFmt formatCode="0.00" sourceLinked="1"/>
        <c:tickLblPos val="none"/>
        <c:crossAx val="78360576"/>
        <c:crosses val="max"/>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200"/>
              <a:t>COATZACOALCOS. MUNICIPIOS CON MAYORES COEFICIENTES DE PRODUCTIVIDAD EN EL SECTOR SERVICIO.</a:t>
            </a:r>
          </a:p>
        </c:rich>
      </c:tx>
      <c:overlay val="1"/>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3519137275748605"/>
          <c:y val="0.26135043707612521"/>
          <c:w val="0.62034382670583132"/>
          <c:h val="0.66595575539445695"/>
        </c:manualLayout>
      </c:layout>
      <c:bar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0"/>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numFmt formatCode="#,##0.00" sourceLinked="0"/>
            <c:dLblPos val="outEnd"/>
            <c:showVal val="1"/>
          </c:dLbls>
          <c:cat>
            <c:strRef>
              <c:f>'[1]Coeficient d productividad'!$AK$4:$AK$13</c:f>
              <c:strCache>
                <c:ptCount val="10"/>
                <c:pt idx="0">
                  <c:v>COATZACOALCOS</c:v>
                </c:pt>
                <c:pt idx="1">
                  <c:v>FORTIN</c:v>
                </c:pt>
                <c:pt idx="2">
                  <c:v>VERACRUZ</c:v>
                </c:pt>
                <c:pt idx="3">
                  <c:v>ACAYUCAN</c:v>
                </c:pt>
                <c:pt idx="4">
                  <c:v>XALAPA</c:v>
                </c:pt>
                <c:pt idx="5">
                  <c:v>AGUA DULCE</c:v>
                </c:pt>
                <c:pt idx="6">
                  <c:v>BOCA DEL RIO</c:v>
                </c:pt>
                <c:pt idx="7">
                  <c:v>COTAXTLA</c:v>
                </c:pt>
                <c:pt idx="8">
                  <c:v>TLALNELHUAYOCAN</c:v>
                </c:pt>
                <c:pt idx="9">
                  <c:v>JALTIPAN</c:v>
                </c:pt>
              </c:strCache>
            </c:strRef>
          </c:cat>
          <c:val>
            <c:numRef>
              <c:f>'[1]Coeficient d productividad'!$AL$4:$AL$13</c:f>
              <c:numCache>
                <c:formatCode>General</c:formatCode>
                <c:ptCount val="10"/>
                <c:pt idx="0">
                  <c:v>1.1520427769612513</c:v>
                </c:pt>
                <c:pt idx="1">
                  <c:v>1.1724644123214478</c:v>
                </c:pt>
                <c:pt idx="2">
                  <c:v>1.2917125780068621</c:v>
                </c:pt>
                <c:pt idx="3">
                  <c:v>1.3410814992377964</c:v>
                </c:pt>
                <c:pt idx="4">
                  <c:v>1.3879214490793237</c:v>
                </c:pt>
                <c:pt idx="5">
                  <c:v>1.4976859084277261</c:v>
                </c:pt>
                <c:pt idx="6">
                  <c:v>1.5895987587160239</c:v>
                </c:pt>
                <c:pt idx="7">
                  <c:v>1.6282920462329229</c:v>
                </c:pt>
                <c:pt idx="8">
                  <c:v>2.0044409994869987</c:v>
                </c:pt>
                <c:pt idx="9">
                  <c:v>2.8968596991735951</c:v>
                </c:pt>
              </c:numCache>
            </c:numRef>
          </c:val>
        </c:ser>
        <c:dLbls>
          <c:showVal val="1"/>
        </c:dLbls>
        <c:gapWidth val="90"/>
        <c:axId val="78378496"/>
        <c:axId val="78380032"/>
      </c:barChart>
      <c:catAx>
        <c:axId val="78378496"/>
        <c:scaling>
          <c:orientation val="minMax"/>
        </c:scaling>
        <c:axPos val="l"/>
        <c:tickLblPos val="nextTo"/>
        <c:crossAx val="78380032"/>
        <c:crosses val="autoZero"/>
        <c:auto val="1"/>
        <c:lblAlgn val="ctr"/>
        <c:lblOffset val="100"/>
      </c:catAx>
      <c:valAx>
        <c:axId val="78380032"/>
        <c:scaling>
          <c:orientation val="minMax"/>
        </c:scaling>
        <c:delete val="1"/>
        <c:axPos val="b"/>
        <c:numFmt formatCode="General" sourceLinked="1"/>
        <c:tickLblPos val="none"/>
        <c:crossAx val="7837849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es-MX" sz="1200" b="0" i="0" baseline="0"/>
              <a:t>COATZACOALCOS. COEFICIENTE DE PRODUCTIVIDAD MUNICIPAL POR SECTOR DE ACTIVIDAD.</a:t>
            </a:r>
          </a:p>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backWall>
      <c:spPr>
        <a:noFill/>
        <a:ln w="25400">
          <a:noFill/>
        </a:ln>
      </c:spPr>
    </c:backWall>
    <c:plotArea>
      <c:layout>
        <c:manualLayout>
          <c:layoutTarget val="inner"/>
          <c:xMode val="edge"/>
          <c:yMode val="edge"/>
          <c:x val="0.50359269377042148"/>
          <c:y val="0.24050925925925926"/>
          <c:w val="0.43591965290053031"/>
          <c:h val="0.70856481481481493"/>
        </c:manualLayout>
      </c:layout>
      <c:bar3DChart>
        <c:barDir val="bar"/>
        <c:grouping val="clustered"/>
        <c:ser>
          <c:idx val="0"/>
          <c:order val="0"/>
          <c:spPr>
            <a:solidFill>
              <a:schemeClr val="accent3"/>
            </a:solidFill>
          </c:spPr>
          <c:cat>
            <c:strRef>
              <c:f>Hoja2!$A$1:$A$10</c:f>
              <c:strCache>
                <c:ptCount val="10"/>
                <c:pt idx="0">
                  <c:v>Electricidad, Agua y Suministro de Gas por Ductos al Consumidor Final</c:v>
                </c:pt>
                <c:pt idx="1">
                  <c:v>Mineria</c:v>
                </c:pt>
                <c:pt idx="2">
                  <c:v>Servicios Financieros y de Seguros</c:v>
                </c:pt>
                <c:pt idx="3">
                  <c:v>Agricultura, Ganaderia, Aprovechamiento Forestal, Pesca y Caza</c:v>
                </c:pt>
                <c:pt idx="4">
                  <c:v> Información en Medios Masivos</c:v>
                </c:pt>
                <c:pt idx="5">
                  <c:v>Construcción</c:v>
                </c:pt>
                <c:pt idx="6">
                  <c:v>Comercio al por Mayor</c:v>
                </c:pt>
                <c:pt idx="7">
                  <c:v>Comercio al por Menor</c:v>
                </c:pt>
                <c:pt idx="8">
                  <c:v> Industrias Manufactureras</c:v>
                </c:pt>
                <c:pt idx="9">
                  <c:v>Trasportes, Correos y Almacenamiento</c:v>
                </c:pt>
              </c:strCache>
            </c:strRef>
          </c:cat>
          <c:val>
            <c:numRef>
              <c:f>Hoja2!$B$1:$B$10</c:f>
              <c:numCache>
                <c:formatCode>0.00</c:formatCode>
                <c:ptCount val="10"/>
                <c:pt idx="0">
                  <c:v>4.0755291799818932E-2</c:v>
                </c:pt>
                <c:pt idx="1">
                  <c:v>0.28374166291646141</c:v>
                </c:pt>
                <c:pt idx="2">
                  <c:v>0.40416070503982804</c:v>
                </c:pt>
                <c:pt idx="3">
                  <c:v>0.46702169458178477</c:v>
                </c:pt>
                <c:pt idx="4">
                  <c:v>0.69487140778646661</c:v>
                </c:pt>
                <c:pt idx="5">
                  <c:v>0.76172538761956576</c:v>
                </c:pt>
                <c:pt idx="6">
                  <c:v>1.0178884569909818</c:v>
                </c:pt>
                <c:pt idx="7">
                  <c:v>1.5812966274761338</c:v>
                </c:pt>
                <c:pt idx="8">
                  <c:v>2.0314487461224582</c:v>
                </c:pt>
                <c:pt idx="9">
                  <c:v>38.935547769655997</c:v>
                </c:pt>
              </c:numCache>
            </c:numRef>
          </c:val>
        </c:ser>
        <c:dLbls>
          <c:showVal val="1"/>
        </c:dLbls>
        <c:shape val="box"/>
        <c:axId val="78049664"/>
        <c:axId val="78051200"/>
        <c:axId val="0"/>
      </c:bar3DChart>
      <c:catAx>
        <c:axId val="78049664"/>
        <c:scaling>
          <c:orientation val="minMax"/>
        </c:scaling>
        <c:axPos val="l"/>
        <c:majorTickMark val="none"/>
        <c:tickLblPos val="nextTo"/>
        <c:txPr>
          <a:bodyPr/>
          <a:lstStyle/>
          <a:p>
            <a:pPr>
              <a:defRPr sz="800"/>
            </a:pPr>
            <a:endParaRPr lang="es-MX"/>
          </a:p>
        </c:txPr>
        <c:crossAx val="78051200"/>
        <c:crosses val="autoZero"/>
        <c:auto val="1"/>
        <c:lblAlgn val="ctr"/>
        <c:lblOffset val="100"/>
      </c:catAx>
      <c:valAx>
        <c:axId val="78051200"/>
        <c:scaling>
          <c:orientation val="minMax"/>
        </c:scaling>
        <c:delete val="1"/>
        <c:axPos val="b"/>
        <c:numFmt formatCode="0.00" sourceLinked="1"/>
        <c:tickLblPos val="none"/>
        <c:crossAx val="78049664"/>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5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COATZACOALCOS.</a:t>
            </a:r>
            <a:r>
              <a:rPr lang="es-MX" sz="1100" baseline="0"/>
              <a:t> AGRICULTURA. SUPERFICIE SEMBRADA</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depthPercent val="100"/>
      <c:rAngAx val="1"/>
    </c:view3D>
    <c:plotArea>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2.22308675596069E-2"/>
                  <c:y val="-9.251977610214181E-3"/>
                </c:manualLayout>
              </c:layout>
              <c:showVal val="1"/>
            </c:dLbl>
            <c:dLbl>
              <c:idx val="1"/>
              <c:layout>
                <c:manualLayout>
                  <c:x val="2.2230867559606932E-2"/>
                  <c:y val="-1.8503955220428511E-2"/>
                </c:manualLayout>
              </c:layout>
              <c:showVal val="1"/>
            </c:dLbl>
            <c:dLbl>
              <c:idx val="2"/>
              <c:layout>
                <c:manualLayout>
                  <c:x val="2.5009726004557351E-2"/>
                  <c:y val="-1.8503955220428511E-2"/>
                </c:manualLayout>
              </c:layout>
              <c:showVal val="1"/>
            </c:dLbl>
            <c:showVal val="1"/>
          </c:dLbls>
          <c:cat>
            <c:strRef>
              <c:f>Cultivos!$A$2:$A$4</c:f>
              <c:strCache>
                <c:ptCount val="3"/>
                <c:pt idx="0">
                  <c:v>Copra</c:v>
                </c:pt>
                <c:pt idx="1">
                  <c:v>Maíz grano</c:v>
                </c:pt>
                <c:pt idx="2">
                  <c:v>Maíz grano</c:v>
                </c:pt>
              </c:strCache>
            </c:strRef>
          </c:cat>
          <c:val>
            <c:numRef>
              <c:f>Cultivos!$B$2:$B$4</c:f>
              <c:numCache>
                <c:formatCode>General</c:formatCode>
                <c:ptCount val="3"/>
                <c:pt idx="0" formatCode="#,##0">
                  <c:v>1100</c:v>
                </c:pt>
                <c:pt idx="1">
                  <c:v>615</c:v>
                </c:pt>
                <c:pt idx="2">
                  <c:v>245</c:v>
                </c:pt>
              </c:numCache>
            </c:numRef>
          </c:val>
        </c:ser>
        <c:dLbls>
          <c:showVal val="1"/>
        </c:dLbls>
        <c:shape val="box"/>
        <c:axId val="78529280"/>
        <c:axId val="78530816"/>
        <c:axId val="0"/>
      </c:bar3DChart>
      <c:catAx>
        <c:axId val="78529280"/>
        <c:scaling>
          <c:orientation val="minMax"/>
        </c:scaling>
        <c:axPos val="b"/>
        <c:numFmt formatCode="General" sourceLinked="1"/>
        <c:majorTickMark val="none"/>
        <c:tickLblPos val="nextTo"/>
        <c:crossAx val="78530816"/>
        <c:crosses val="autoZero"/>
        <c:auto val="1"/>
        <c:lblAlgn val="ctr"/>
        <c:lblOffset val="100"/>
      </c:catAx>
      <c:valAx>
        <c:axId val="78530816"/>
        <c:scaling>
          <c:orientation val="minMax"/>
        </c:scaling>
        <c:delete val="1"/>
        <c:axPos val="l"/>
        <c:numFmt formatCode="#,##0" sourceLinked="1"/>
        <c:majorTickMark val="none"/>
        <c:tickLblPos val="none"/>
        <c:crossAx val="78529280"/>
        <c:crosses val="autoZero"/>
        <c:crossBetween val="between"/>
      </c:valAx>
      <c:spPr>
        <a:noFill/>
        <a:ln w="25400">
          <a:noFill/>
        </a:ln>
      </c:spPr>
    </c:plotArea>
    <c:plotVisOnly val="1"/>
    <c:dispBlanksAs val="gap"/>
  </c:chart>
  <c:spPr>
    <a:effectLst>
      <a:outerShdw blurRad="50800" dist="38100" dir="2700000" algn="tl" rotWithShape="0">
        <a:prstClr val="black">
          <a:alpha val="40000"/>
        </a:prstClr>
      </a:outerShdw>
    </a:effectLst>
  </c:spPr>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COATZACOALCOS.</a:t>
            </a:r>
            <a:r>
              <a:rPr lang="es-MX" sz="1100" baseline="0"/>
              <a:t> CABEZAS DE GANADO</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pie3DChart>
        <c:varyColors val="1"/>
        <c:ser>
          <c:idx val="0"/>
          <c:order val="0"/>
          <c:explosion val="25"/>
          <c:dPt>
            <c:idx val="0"/>
            <c:spPr>
              <a:solidFill>
                <a:schemeClr val="tx2">
                  <a:lumMod val="75000"/>
                </a:schemeClr>
              </a:solidFill>
            </c:spPr>
          </c:dPt>
          <c:dPt>
            <c:idx val="1"/>
            <c:spPr>
              <a:solidFill>
                <a:srgbClr val="FFFF00"/>
              </a:solidFill>
            </c:spPr>
          </c:dPt>
          <c:dPt>
            <c:idx val="2"/>
            <c:spPr>
              <a:solidFill>
                <a:srgbClr val="00B050"/>
              </a:solidFill>
            </c:spPr>
          </c:dPt>
          <c:dPt>
            <c:idx val="3"/>
            <c:spPr>
              <a:solidFill>
                <a:srgbClr val="F97817"/>
              </a:solidFill>
            </c:spPr>
          </c:dPt>
          <c:dLbls>
            <c:dLbl>
              <c:idx val="0"/>
              <c:layout>
                <c:manualLayout>
                  <c:x val="3.0910533448922192E-2"/>
                  <c:y val="-8.785736218833751E-4"/>
                </c:manualLayout>
              </c:layout>
              <c:tx>
                <c:rich>
                  <a:bodyPr/>
                  <a:lstStyle/>
                  <a:p>
                    <a:pPr>
                      <a:defRPr/>
                    </a:pPr>
                    <a:r>
                      <a:rPr lang="en-US"/>
                      <a:t>Porcino
5,</a:t>
                    </a:r>
                    <a:r>
                      <a:rPr lang="en-US" baseline="0"/>
                      <a:t> 735</a:t>
                    </a:r>
                    <a:endParaRPr lang="en-US"/>
                  </a:p>
                </c:rich>
              </c:tx>
              <c:spPr/>
              <c:dLblPos val="bestFit"/>
            </c:dLbl>
            <c:dLbl>
              <c:idx val="1"/>
              <c:tx>
                <c:rich>
                  <a:bodyPr/>
                  <a:lstStyle/>
                  <a:p>
                    <a:pPr>
                      <a:defRPr/>
                    </a:pPr>
                    <a:r>
                      <a:rPr lang="en-US"/>
                      <a:t>Ovino
3,249</a:t>
                    </a:r>
                  </a:p>
                </c:rich>
              </c:tx>
              <c:spPr/>
              <c:dLblPos val="bestFit"/>
            </c:dLbl>
            <c:dLbl>
              <c:idx val="2"/>
              <c:layout>
                <c:manualLayout>
                  <c:x val="1.6308616955587715E-2"/>
                  <c:y val="-3.8028906237763442E-2"/>
                </c:manualLayout>
              </c:layout>
              <c:tx>
                <c:rich>
                  <a:bodyPr/>
                  <a:lstStyle/>
                  <a:p>
                    <a:pPr>
                      <a:defRPr/>
                    </a:pPr>
                    <a:r>
                      <a:rPr lang="en-US"/>
                      <a:t>Equino
865</a:t>
                    </a:r>
                  </a:p>
                </c:rich>
              </c:tx>
              <c:spPr/>
              <c:dLblPos val="bestFit"/>
            </c:dLbl>
            <c:dLbl>
              <c:idx val="3"/>
              <c:layout>
                <c:manualLayout>
                  <c:x val="0.22621308111510052"/>
                  <c:y val="-0.26316121133884962"/>
                </c:manualLayout>
              </c:layout>
              <c:tx>
                <c:rich>
                  <a:bodyPr/>
                  <a:lstStyle/>
                  <a:p>
                    <a:pPr>
                      <a:defRPr/>
                    </a:pPr>
                    <a:r>
                      <a:rPr lang="en-US"/>
                      <a:t>Bovino de doble propósito
23,266</a:t>
                    </a:r>
                  </a:p>
                </c:rich>
              </c:tx>
              <c:spPr/>
              <c:dLblPos val="bestFit"/>
            </c:dLbl>
            <c:showCatName val="1"/>
            <c:showPercent val="1"/>
            <c:showLeaderLines val="1"/>
          </c:dLbls>
          <c:cat>
            <c:strRef>
              <c:f>Ganado!$A$3:$A$6</c:f>
              <c:strCache>
                <c:ptCount val="4"/>
                <c:pt idx="0">
                  <c:v>Porcino</c:v>
                </c:pt>
                <c:pt idx="1">
                  <c:v>Ovino</c:v>
                </c:pt>
                <c:pt idx="2">
                  <c:v>Equino</c:v>
                </c:pt>
                <c:pt idx="3">
                  <c:v>Bovino de doble propósito</c:v>
                </c:pt>
              </c:strCache>
            </c:strRef>
          </c:cat>
          <c:val>
            <c:numRef>
              <c:f>Ganado!$B$3:$B$6</c:f>
              <c:numCache>
                <c:formatCode>#,##0</c:formatCode>
                <c:ptCount val="4"/>
                <c:pt idx="0">
                  <c:v>5735</c:v>
                </c:pt>
                <c:pt idx="1">
                  <c:v>3249</c:v>
                </c:pt>
                <c:pt idx="2">
                  <c:v>865</c:v>
                </c:pt>
                <c:pt idx="3">
                  <c:v>23266</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es-MX" sz="1200" b="0" i="0" baseline="0"/>
              <a:t>COATZACOALCOS. SUPERFICIE EN EJIDOS Y COMUNIDADES. 2007 (%)</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3085896755518872"/>
          <c:y val="0.34910287255759692"/>
          <c:w val="0.7594186809843787"/>
          <c:h val="0.57926210702054959"/>
        </c:manualLayout>
      </c:layout>
      <c:pie3DChart>
        <c:varyColors val="1"/>
        <c:ser>
          <c:idx val="0"/>
          <c:order val="0"/>
          <c:explosion val="25"/>
          <c:dPt>
            <c:idx val="0"/>
            <c:spPr>
              <a:solidFill>
                <a:srgbClr val="009900"/>
              </a:solidFill>
            </c:spPr>
          </c:dPt>
          <c:dPt>
            <c:idx val="1"/>
            <c:spPr>
              <a:solidFill>
                <a:srgbClr val="FF0000"/>
              </a:solidFill>
            </c:spPr>
          </c:dPt>
          <c:dPt>
            <c:idx val="2"/>
            <c:spPr>
              <a:solidFill>
                <a:schemeClr val="accent6">
                  <a:lumMod val="50000"/>
                </a:schemeClr>
              </a:solidFill>
            </c:spPr>
          </c:dPt>
          <c:dPt>
            <c:idx val="3"/>
            <c:spPr>
              <a:solidFill>
                <a:srgbClr val="FFC000"/>
              </a:solidFill>
            </c:spPr>
          </c:dPt>
          <c:dLbls>
            <c:dLbl>
              <c:idx val="1"/>
              <c:layout>
                <c:manualLayout>
                  <c:x val="-5.9728346456692907E-2"/>
                  <c:y val="4.019174686497521E-2"/>
                </c:manualLayout>
              </c:layout>
              <c:showCatName val="1"/>
              <c:showPercent val="1"/>
            </c:dLbl>
            <c:dLbl>
              <c:idx val="3"/>
              <c:layout>
                <c:manualLayout>
                  <c:x val="0.36398775153106155"/>
                  <c:y val="1.96547827354914E-2"/>
                </c:manualLayout>
              </c:layout>
              <c:showCatName val="1"/>
              <c:showPercent val="1"/>
            </c:dLbl>
            <c:txPr>
              <a:bodyPr/>
              <a:lstStyle/>
              <a:p>
                <a:pPr>
                  <a:defRPr sz="800"/>
                </a:pPr>
                <a:endParaRPr lang="es-MX"/>
              </a:p>
            </c:txPr>
            <c:showCatName val="1"/>
            <c:showPercent val="1"/>
            <c:showLeaderLines val="1"/>
          </c:dLbls>
          <c:cat>
            <c:strRef>
              <c:f>'SUPERFICIE EJIDOS Y COMUNIDADES'!$G$14:$J$14</c:f>
              <c:strCache>
                <c:ptCount val="4"/>
                <c:pt idx="0">
                  <c:v>Superficie 
parcelada</c:v>
                </c:pt>
                <c:pt idx="1">
                  <c:v>Uso común</c:v>
                </c:pt>
                <c:pt idx="2">
                  <c:v>Asentamiento
humano</c:v>
                </c:pt>
                <c:pt idx="3">
                  <c:v>Resto
de las
superficies</c:v>
                </c:pt>
              </c:strCache>
            </c:strRef>
          </c:cat>
          <c:val>
            <c:numRef>
              <c:f>'SUPERFICIE EJIDOS Y COMUNIDADES'!$G$13:$J$13</c:f>
              <c:numCache>
                <c:formatCode>#,##0.00</c:formatCode>
                <c:ptCount val="4"/>
                <c:pt idx="0">
                  <c:v>6886</c:v>
                </c:pt>
                <c:pt idx="1">
                  <c:v>337</c:v>
                </c:pt>
                <c:pt idx="2">
                  <c:v>216</c:v>
                </c:pt>
                <c:pt idx="3">
                  <c:v>80</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b="0" i="0" u="none" strike="noStrike" baseline="0"/>
              <a:t>COATZACOALCOS. PROPORCION DE EJIDATARIOS, COMUNEROS Y POSESIONARIOS. (2007)</a:t>
            </a:r>
            <a:endParaRPr lang="es-MX" sz="14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0548766940679848E-2"/>
          <c:y val="0.36234507794725629"/>
          <c:w val="0.9389024661186407"/>
          <c:h val="0.45486467184796608"/>
        </c:manualLayout>
      </c:layout>
      <c:bar3DChart>
        <c:barDir val="col"/>
        <c:grouping val="clustered"/>
        <c:ser>
          <c:idx val="0"/>
          <c:order val="0"/>
          <c:tx>
            <c:strRef>
              <c:f>'EJIDATARIOS Y COMUNEROS'!$B$21</c:f>
              <c:strCache>
                <c:ptCount val="1"/>
                <c:pt idx="0">
                  <c:v>Hombres</c:v>
                </c:pt>
              </c:strCache>
            </c:strRef>
          </c:tx>
          <c:spPr>
            <a:solidFill>
              <a:schemeClr val="accent1">
                <a:lumMod val="75000"/>
              </a:schemeClr>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2.5000000000000001E-2"/>
                  <c:y val="-1.3888888888889093E-2"/>
                </c:manualLayout>
              </c:layout>
              <c:showVal val="1"/>
            </c:dLbl>
            <c:dLbl>
              <c:idx val="1"/>
              <c:layout>
                <c:manualLayout>
                  <c:x val="2.7777777777778442E-2"/>
                  <c:y val="-1.3888888888889162E-2"/>
                </c:manualLayout>
              </c:layout>
              <c:showVal val="1"/>
            </c:dLbl>
            <c:showVal val="1"/>
          </c:dLbls>
          <c:cat>
            <c:strRef>
              <c:f>'EJIDATARIOS Y COMUNEROS'!$A$22:$A$23</c:f>
              <c:strCache>
                <c:ptCount val="2"/>
                <c:pt idx="0">
                  <c:v>   Ejidatarios y comuneros</c:v>
                </c:pt>
                <c:pt idx="1">
                  <c:v>   Posesionarios</c:v>
                </c:pt>
              </c:strCache>
            </c:strRef>
          </c:cat>
          <c:val>
            <c:numRef>
              <c:f>'EJIDATARIOS Y COMUNEROS'!$B$22:$C$22</c:f>
              <c:numCache>
                <c:formatCode>#,##0</c:formatCode>
                <c:ptCount val="2"/>
                <c:pt idx="0">
                  <c:v>350</c:v>
                </c:pt>
                <c:pt idx="1">
                  <c:v>21</c:v>
                </c:pt>
              </c:numCache>
            </c:numRef>
          </c:val>
        </c:ser>
        <c:ser>
          <c:idx val="1"/>
          <c:order val="1"/>
          <c:tx>
            <c:strRef>
              <c:f>'EJIDATARIOS Y COMUNEROS'!$C$21</c:f>
              <c:strCache>
                <c:ptCount val="1"/>
                <c:pt idx="0">
                  <c:v>Mujeres</c:v>
                </c:pt>
              </c:strCache>
            </c:strRef>
          </c:tx>
          <c:spPr>
            <a:solidFill>
              <a:srgbClr val="FF00FF"/>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1.94444444444445E-2"/>
                  <c:y val="-1.8518518518518583E-2"/>
                </c:manualLayout>
              </c:layout>
              <c:showVal val="1"/>
            </c:dLbl>
            <c:dLbl>
              <c:idx val="1"/>
              <c:layout>
                <c:manualLayout>
                  <c:x val="3.0555555555555659E-2"/>
                  <c:y val="-9.2592592592593732E-3"/>
                </c:manualLayout>
              </c:layout>
              <c:showVal val="1"/>
            </c:dLbl>
            <c:showVal val="1"/>
          </c:dLbls>
          <c:cat>
            <c:strRef>
              <c:f>'EJIDATARIOS Y COMUNEROS'!$A$22:$A$23</c:f>
              <c:strCache>
                <c:ptCount val="2"/>
                <c:pt idx="0">
                  <c:v>   Ejidatarios y comuneros</c:v>
                </c:pt>
                <c:pt idx="1">
                  <c:v>   Posesionarios</c:v>
                </c:pt>
              </c:strCache>
            </c:strRef>
          </c:cat>
          <c:val>
            <c:numRef>
              <c:f>'EJIDATARIOS Y COMUNEROS'!$B$23:$C$23</c:f>
              <c:numCache>
                <c:formatCode>#,##0</c:formatCode>
                <c:ptCount val="2"/>
                <c:pt idx="0">
                  <c:v>79</c:v>
                </c:pt>
                <c:pt idx="1">
                  <c:v>6</c:v>
                </c:pt>
              </c:numCache>
            </c:numRef>
          </c:val>
        </c:ser>
        <c:dLbls>
          <c:showVal val="1"/>
        </c:dLbls>
        <c:shape val="box"/>
        <c:axId val="78598528"/>
        <c:axId val="78600064"/>
        <c:axId val="0"/>
      </c:bar3DChart>
      <c:catAx>
        <c:axId val="78598528"/>
        <c:scaling>
          <c:orientation val="minMax"/>
        </c:scaling>
        <c:axPos val="b"/>
        <c:majorTickMark val="none"/>
        <c:tickLblPos val="nextTo"/>
        <c:crossAx val="78600064"/>
        <c:crosses val="autoZero"/>
        <c:auto val="1"/>
        <c:lblAlgn val="ctr"/>
        <c:lblOffset val="100"/>
      </c:catAx>
      <c:valAx>
        <c:axId val="78600064"/>
        <c:scaling>
          <c:orientation val="minMax"/>
        </c:scaling>
        <c:delete val="1"/>
        <c:axPos val="l"/>
        <c:numFmt formatCode="#,##0" sourceLinked="1"/>
        <c:tickLblPos val="none"/>
        <c:crossAx val="78598528"/>
        <c:crosses val="autoZero"/>
        <c:crossBetween val="between"/>
      </c:valAx>
    </c:plotArea>
    <c:legend>
      <c:legendPos val="t"/>
    </c:legend>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5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100" b="0"/>
            </a:pPr>
            <a:r>
              <a:rPr lang="es-MX" sz="1100" b="0"/>
              <a:t>COATZACOALCOS.</a:t>
            </a:r>
            <a:r>
              <a:rPr lang="es-MX" sz="1100" b="0" baseline="0"/>
              <a:t> EJIDOS Y COMUNIDADES CON ACTIVIDAD AGROPECUARIA.</a:t>
            </a:r>
          </a:p>
          <a:p>
            <a:pPr>
              <a:defRPr sz="1100" b="0"/>
            </a:pPr>
            <a:r>
              <a:rPr lang="es-MX" sz="1100" b="0" baseline="0"/>
              <a:t>(2007)</a:t>
            </a:r>
            <a:endParaRPr lang="es-MX" sz="11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147811493635428E-2"/>
          <c:y val="0.29500290886955205"/>
          <c:w val="0.93704377012729145"/>
          <c:h val="0.49713543773670676"/>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'EJIDOS CON  ACT AGRO O FORESTAL'!$I$4:$K$4</c:f>
              <c:strCache>
                <c:ptCount val="3"/>
                <c:pt idx="0">
                  <c:v>Agrícola</c:v>
                </c:pt>
                <c:pt idx="1">
                  <c:v>Ganadera</c:v>
                </c:pt>
                <c:pt idx="2">
                  <c:v>Forestal</c:v>
                </c:pt>
              </c:strCache>
            </c:strRef>
          </c:cat>
          <c:val>
            <c:numRef>
              <c:f>'EJIDOS CON  ACT AGRO O FORESTAL'!$I$5:$K$5</c:f>
              <c:numCache>
                <c:formatCode>###\ ##0</c:formatCode>
                <c:ptCount val="3"/>
                <c:pt idx="0">
                  <c:v>8</c:v>
                </c:pt>
                <c:pt idx="1">
                  <c:v>5</c:v>
                </c:pt>
                <c:pt idx="2">
                  <c:v>2</c:v>
                </c:pt>
              </c:numCache>
            </c:numRef>
          </c:val>
        </c:ser>
        <c:dLbls>
          <c:showVal val="1"/>
        </c:dLbls>
        <c:shape val="box"/>
        <c:axId val="78641408"/>
        <c:axId val="78716928"/>
        <c:axId val="0"/>
      </c:bar3DChart>
      <c:catAx>
        <c:axId val="78641408"/>
        <c:scaling>
          <c:orientation val="minMax"/>
        </c:scaling>
        <c:axPos val="b"/>
        <c:majorTickMark val="none"/>
        <c:tickLblPos val="nextTo"/>
        <c:crossAx val="78716928"/>
        <c:crosses val="autoZero"/>
        <c:auto val="1"/>
        <c:lblAlgn val="ctr"/>
        <c:lblOffset val="100"/>
      </c:catAx>
      <c:valAx>
        <c:axId val="78716928"/>
        <c:scaling>
          <c:orientation val="minMax"/>
        </c:scaling>
        <c:delete val="1"/>
        <c:axPos val="l"/>
        <c:numFmt formatCode="###\ ##0" sourceLinked="1"/>
        <c:tickLblPos val="none"/>
        <c:crossAx val="78641408"/>
        <c:crosses val="autoZero"/>
        <c:crossBetween val="between"/>
      </c:valAx>
    </c:plotArea>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5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800"/>
            </a:pPr>
            <a:r>
              <a:rPr lang="es-MX" sz="1200" cap="all" baseline="0"/>
              <a:t>Coatzacoalcos. Tasa de crecimiento del indice de ventas de Establecimientos comerciales. </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lineChart>
        <c:grouping val="standard"/>
        <c:ser>
          <c:idx val="0"/>
          <c:order val="0"/>
          <c:tx>
            <c:strRef>
              <c:f>Coatzacoalcos!$H$5</c:f>
              <c:strCache>
                <c:ptCount val="1"/>
                <c:pt idx="0">
                  <c:v>Al por mayor</c:v>
                </c:pt>
              </c:strCache>
            </c:strRef>
          </c:tx>
          <c:spPr>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3"/>
              <c:layout>
                <c:manualLayout>
                  <c:x val="-4.1666666666666664E-2"/>
                  <c:y val="-5.0926290463692035E-2"/>
                </c:manualLayout>
              </c:layout>
              <c:showVal val="1"/>
            </c:dLbl>
            <c:dLbl>
              <c:idx val="4"/>
              <c:layout>
                <c:manualLayout>
                  <c:x val="-4.4444444444444502E-2"/>
                  <c:y val="-4.6296296296296509E-2"/>
                </c:manualLayout>
              </c:layout>
              <c:showVal val="1"/>
            </c:dLbl>
            <c:dLbl>
              <c:idx val="5"/>
              <c:layout>
                <c:manualLayout>
                  <c:x val="-5.5555555555555455E-2"/>
                  <c:y val="1.3888888888888966E-2"/>
                </c:manualLayout>
              </c:layout>
              <c:showVal val="1"/>
            </c:dLbl>
            <c:dLbl>
              <c:idx val="6"/>
              <c:layout>
                <c:manualLayout>
                  <c:x val="-5.8333333333333584E-2"/>
                  <c:y val="-4.1666666666666664E-2"/>
                </c:manualLayout>
              </c:layout>
              <c:showVal val="1"/>
            </c:dLbl>
            <c:showVal val="1"/>
          </c:dLbls>
          <c:cat>
            <c:numRef>
              <c:f>Coatzacoalcos!$G$7:$G$13</c:f>
              <c:numCache>
                <c:formatCode>General</c:formatCode>
                <c:ptCount val="7"/>
                <c:pt idx="0">
                  <c:v>2002</c:v>
                </c:pt>
                <c:pt idx="1">
                  <c:v>2003</c:v>
                </c:pt>
                <c:pt idx="2">
                  <c:v>2004</c:v>
                </c:pt>
                <c:pt idx="3">
                  <c:v>2005</c:v>
                </c:pt>
                <c:pt idx="4">
                  <c:v>2006</c:v>
                </c:pt>
                <c:pt idx="5">
                  <c:v>2007</c:v>
                </c:pt>
                <c:pt idx="6">
                  <c:v>2008</c:v>
                </c:pt>
              </c:numCache>
            </c:numRef>
          </c:cat>
          <c:val>
            <c:numRef>
              <c:f>Coatzacoalcos!$H$16:$H$22</c:f>
              <c:numCache>
                <c:formatCode>0.0</c:formatCode>
                <c:ptCount val="7"/>
                <c:pt idx="0">
                  <c:v>36.611336959009556</c:v>
                </c:pt>
                <c:pt idx="1">
                  <c:v>-4.2650285212812449</c:v>
                </c:pt>
                <c:pt idx="2">
                  <c:v>4.9367078058984024</c:v>
                </c:pt>
                <c:pt idx="3">
                  <c:v>6.5127101482651835</c:v>
                </c:pt>
                <c:pt idx="4">
                  <c:v>7.6093400882765172</c:v>
                </c:pt>
                <c:pt idx="5">
                  <c:v>2.8084715358731138</c:v>
                </c:pt>
                <c:pt idx="6">
                  <c:v>2.5768264270236925</c:v>
                </c:pt>
              </c:numCache>
            </c:numRef>
          </c:val>
          <c:smooth val="1"/>
        </c:ser>
        <c:ser>
          <c:idx val="1"/>
          <c:order val="1"/>
          <c:tx>
            <c:strRef>
              <c:f>Coatzacoalcos!$I$5</c:f>
              <c:strCache>
                <c:ptCount val="1"/>
                <c:pt idx="0">
                  <c:v>Al por menor</c:v>
                </c:pt>
              </c:strCache>
            </c:strRef>
          </c:tx>
          <c:spPr>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4.1666666666666664E-2"/>
                  <c:y val="-4.6296296296296523E-2"/>
                </c:manualLayout>
              </c:layout>
              <c:showVal val="1"/>
            </c:dLbl>
            <c:dLbl>
              <c:idx val="1"/>
              <c:layout>
                <c:manualLayout>
                  <c:x val="-3.888888888888889E-2"/>
                  <c:y val="-5.0926290463692125E-2"/>
                </c:manualLayout>
              </c:layout>
              <c:showVal val="1"/>
            </c:dLbl>
            <c:dLbl>
              <c:idx val="2"/>
              <c:layout>
                <c:manualLayout>
                  <c:x val="-4.1666666666666664E-2"/>
                  <c:y val="-5.0925925925925923E-2"/>
                </c:manualLayout>
              </c:layout>
              <c:showVal val="1"/>
            </c:dLbl>
            <c:dLbl>
              <c:idx val="3"/>
              <c:layout>
                <c:manualLayout>
                  <c:x val="-3.333333333333334E-2"/>
                  <c:y val="3.2407407407407607E-2"/>
                </c:manualLayout>
              </c:layout>
              <c:showVal val="1"/>
            </c:dLbl>
            <c:dLbl>
              <c:idx val="4"/>
              <c:layout>
                <c:manualLayout>
                  <c:x val="-0.05"/>
                  <c:y val="3.2407042869641488E-2"/>
                </c:manualLayout>
              </c:layout>
              <c:showVal val="1"/>
            </c:dLbl>
            <c:dLbl>
              <c:idx val="5"/>
              <c:layout>
                <c:manualLayout>
                  <c:x val="-4.4444444444444502E-2"/>
                  <c:y val="-4.1666666666666664E-2"/>
                </c:manualLayout>
              </c:layout>
              <c:showVal val="1"/>
            </c:dLbl>
            <c:dLbl>
              <c:idx val="6"/>
              <c:layout>
                <c:manualLayout>
                  <c:x val="-1.1111111111111021E-2"/>
                  <c:y val="4.6296296296296537E-3"/>
                </c:manualLayout>
              </c:layout>
              <c:showVal val="1"/>
            </c:dLbl>
            <c:showVal val="1"/>
          </c:dLbls>
          <c:cat>
            <c:numRef>
              <c:f>Coatzacoalcos!$G$7:$G$13</c:f>
              <c:numCache>
                <c:formatCode>General</c:formatCode>
                <c:ptCount val="7"/>
                <c:pt idx="0">
                  <c:v>2002</c:v>
                </c:pt>
                <c:pt idx="1">
                  <c:v>2003</c:v>
                </c:pt>
                <c:pt idx="2">
                  <c:v>2004</c:v>
                </c:pt>
                <c:pt idx="3">
                  <c:v>2005</c:v>
                </c:pt>
                <c:pt idx="4">
                  <c:v>2006</c:v>
                </c:pt>
                <c:pt idx="5">
                  <c:v>2007</c:v>
                </c:pt>
                <c:pt idx="6">
                  <c:v>2008</c:v>
                </c:pt>
              </c:numCache>
            </c:numRef>
          </c:cat>
          <c:val>
            <c:numRef>
              <c:f>Coatzacoalcos!$I$16:$I$22</c:f>
              <c:numCache>
                <c:formatCode>0.0</c:formatCode>
                <c:ptCount val="7"/>
                <c:pt idx="0">
                  <c:v>-1.1394170732208646</c:v>
                </c:pt>
                <c:pt idx="1">
                  <c:v>1.6080885522507675</c:v>
                </c:pt>
                <c:pt idx="2">
                  <c:v>9.5499204173298491</c:v>
                </c:pt>
                <c:pt idx="3">
                  <c:v>6.2345486494093327</c:v>
                </c:pt>
                <c:pt idx="4">
                  <c:v>6.8737615729966839</c:v>
                </c:pt>
                <c:pt idx="5">
                  <c:v>4.8226133371850146</c:v>
                </c:pt>
                <c:pt idx="6">
                  <c:v>1.9783595951162571</c:v>
                </c:pt>
              </c:numCache>
            </c:numRef>
          </c:val>
          <c:smooth val="1"/>
        </c:ser>
        <c:dLbls>
          <c:showVal val="1"/>
        </c:dLbls>
        <c:marker val="1"/>
        <c:axId val="78758656"/>
        <c:axId val="78760192"/>
      </c:lineChart>
      <c:catAx>
        <c:axId val="78758656"/>
        <c:scaling>
          <c:orientation val="minMax"/>
        </c:scaling>
        <c:axPos val="b"/>
        <c:numFmt formatCode="General" sourceLinked="1"/>
        <c:majorTickMark val="none"/>
        <c:tickLblPos val="nextTo"/>
        <c:crossAx val="78760192"/>
        <c:crosses val="autoZero"/>
        <c:auto val="1"/>
        <c:lblAlgn val="ctr"/>
        <c:lblOffset val="100"/>
      </c:catAx>
      <c:valAx>
        <c:axId val="78760192"/>
        <c:scaling>
          <c:orientation val="minMax"/>
        </c:scaling>
        <c:delete val="1"/>
        <c:axPos val="l"/>
        <c:numFmt formatCode="0.0" sourceLinked="1"/>
        <c:majorTickMark val="none"/>
        <c:tickLblPos val="none"/>
        <c:crossAx val="78758656"/>
        <c:crosses val="autoZero"/>
        <c:crossBetween val="between"/>
      </c:valAx>
    </c:plotArea>
    <c:legend>
      <c:legendPos val="t"/>
      <c:layout>
        <c:manualLayout>
          <c:xMode val="edge"/>
          <c:yMode val="edge"/>
          <c:x val="0.60398600174978123"/>
          <c:y val="0.28842592592592753"/>
          <c:w val="0.28647222222222363"/>
          <c:h val="0.19019867308253136"/>
        </c:manualLayout>
      </c:layout>
    </c:legend>
    <c:plotVisOnly val="1"/>
  </c:chart>
  <c:spPr>
    <a:effectLst>
      <a:outerShdw blurRad="50800" dist="38100" dir="2700000" algn="tl" rotWithShape="0">
        <a:prstClr val="black">
          <a:alpha val="40000"/>
        </a:prstClr>
      </a:outerShdw>
    </a:effectLst>
  </c:spPr>
  <c:externalData r:id="rId1"/>
</c:chartSpace>
</file>

<file path=word/charts/chart6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a:t>COATZACOALCOS.</a:t>
            </a:r>
            <a:r>
              <a:rPr lang="es-MX" sz="1100" baseline="0"/>
              <a:t> PARQUE VEHICULAR</a:t>
            </a:r>
            <a:endParaRPr lang="es-MX" sz="11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1398965096012217"/>
          <c:y val="0.26407330125996403"/>
          <c:w val="0.74370132036820125"/>
          <c:h val="0.63314373072110963"/>
        </c:manualLayout>
      </c:layout>
      <c:pie3DChart>
        <c:varyColors val="1"/>
        <c:ser>
          <c:idx val="0"/>
          <c:order val="0"/>
          <c:explosion val="25"/>
          <c:dPt>
            <c:idx val="0"/>
            <c:spPr>
              <a:solidFill>
                <a:srgbClr val="0033CC"/>
              </a:solidFill>
            </c:spPr>
          </c:dPt>
          <c:dPt>
            <c:idx val="1"/>
            <c:spPr>
              <a:solidFill>
                <a:srgbClr val="FFFF00"/>
              </a:solidFill>
            </c:spPr>
          </c:dPt>
          <c:dPt>
            <c:idx val="2"/>
            <c:spPr>
              <a:solidFill>
                <a:schemeClr val="accent6">
                  <a:lumMod val="50000"/>
                </a:schemeClr>
              </a:solidFill>
            </c:spPr>
          </c:dPt>
          <c:dPt>
            <c:idx val="3"/>
            <c:spPr>
              <a:solidFill>
                <a:srgbClr val="FF0000"/>
              </a:solidFill>
            </c:spPr>
          </c:dPt>
          <c:dLbls>
            <c:dLbl>
              <c:idx val="0"/>
              <c:layout>
                <c:manualLayout>
                  <c:x val="-0.24182538964990599"/>
                  <c:y val="-0.19491780839120759"/>
                </c:manualLayout>
              </c:layout>
              <c:tx>
                <c:rich>
                  <a:bodyPr/>
                  <a:lstStyle/>
                  <a:p>
                    <a:pPr>
                      <a:defRPr/>
                    </a:pPr>
                    <a:r>
                      <a:rPr lang="en-US"/>
                      <a:t>Automóviles
43,</a:t>
                    </a:r>
                    <a:r>
                      <a:rPr lang="en-US" baseline="0"/>
                      <a:t> 550</a:t>
                    </a:r>
                    <a:endParaRPr lang="en-US"/>
                  </a:p>
                </c:rich>
              </c:tx>
              <c:spPr/>
              <c:dLblPos val="bestFit"/>
            </c:dLbl>
            <c:dLbl>
              <c:idx val="1"/>
              <c:layout>
                <c:manualLayout>
                  <c:x val="3.6287420804059611E-2"/>
                  <c:y val="0.12327485526993447"/>
                </c:manualLayout>
              </c:layout>
              <c:tx>
                <c:rich>
                  <a:bodyPr/>
                  <a:lstStyle/>
                  <a:p>
                    <a:pPr>
                      <a:defRPr/>
                    </a:pPr>
                    <a:r>
                      <a:rPr lang="en-US"/>
                      <a:t>Camiones de pasajeros
788</a:t>
                    </a:r>
                  </a:p>
                </c:rich>
              </c:tx>
              <c:spPr/>
              <c:dLblPos val="bestFit"/>
            </c:dLbl>
            <c:dLbl>
              <c:idx val="2"/>
              <c:layout>
                <c:manualLayout>
                  <c:x val="3.9276159138280052E-3"/>
                  <c:y val="-7.9045188035074945E-2"/>
                </c:manualLayout>
              </c:layout>
              <c:tx>
                <c:rich>
                  <a:bodyPr/>
                  <a:lstStyle/>
                  <a:p>
                    <a:pPr>
                      <a:defRPr/>
                    </a:pPr>
                    <a:r>
                      <a:rPr lang="en-US"/>
                      <a:t>Camiones y camionetas para carga
15,</a:t>
                    </a:r>
                    <a:r>
                      <a:rPr lang="en-US" baseline="0"/>
                      <a:t> 386</a:t>
                    </a:r>
                    <a:endParaRPr lang="en-US"/>
                  </a:p>
                </c:rich>
              </c:tx>
              <c:spPr/>
              <c:dLblPos val="bestFit"/>
            </c:dLbl>
            <c:dLbl>
              <c:idx val="3"/>
              <c:layout>
                <c:manualLayout>
                  <c:x val="0.13683773300644791"/>
                  <c:y val="-1.7281354986718383E-2"/>
                </c:manualLayout>
              </c:layout>
              <c:tx>
                <c:rich>
                  <a:bodyPr/>
                  <a:lstStyle/>
                  <a:p>
                    <a:pPr>
                      <a:defRPr/>
                    </a:pPr>
                    <a:r>
                      <a:rPr lang="en-US"/>
                      <a:t>Motocicletas</a:t>
                    </a:r>
                    <a:r>
                      <a:rPr lang="en-US" baseline="0"/>
                      <a:t> </a:t>
                    </a:r>
                  </a:p>
                  <a:p>
                    <a:pPr>
                      <a:defRPr/>
                    </a:pPr>
                    <a:r>
                      <a:rPr lang="en-US" baseline="0"/>
                      <a:t>1,796</a:t>
                    </a:r>
                    <a:endParaRPr lang="en-US"/>
                  </a:p>
                </c:rich>
              </c:tx>
              <c:spPr/>
              <c:dLblPos val="bestFit"/>
            </c:dLbl>
            <c:showCatName val="1"/>
            <c:showPercent val="1"/>
            <c:showLeaderLines val="1"/>
          </c:dLbls>
          <c:cat>
            <c:strRef>
              <c:f>'Partque Vehicular'!$A$3:$A$6</c:f>
              <c:strCache>
                <c:ptCount val="4"/>
                <c:pt idx="0">
                  <c:v>Automóviles</c:v>
                </c:pt>
                <c:pt idx="1">
                  <c:v>Camiones de pasajeros</c:v>
                </c:pt>
                <c:pt idx="2">
                  <c:v>Camiones y camionetas para carga</c:v>
                </c:pt>
                <c:pt idx="3">
                  <c:v>Motocicletas</c:v>
                </c:pt>
              </c:strCache>
            </c:strRef>
          </c:cat>
          <c:val>
            <c:numRef>
              <c:f>'Partque Vehicular'!$B$3:$B$6</c:f>
              <c:numCache>
                <c:formatCode>#,##0</c:formatCode>
                <c:ptCount val="4"/>
                <c:pt idx="0">
                  <c:v>43550</c:v>
                </c:pt>
                <c:pt idx="1">
                  <c:v>788</c:v>
                </c:pt>
                <c:pt idx="2">
                  <c:v>15386</c:v>
                </c:pt>
                <c:pt idx="3">
                  <c:v>1796</c:v>
                </c:pt>
              </c:numCache>
            </c:numRef>
          </c:val>
        </c:ser>
        <c:dLbls>
          <c:showCatName val="1"/>
          <c:showPercent val="1"/>
        </c:dLbls>
      </c:pie3DChart>
      <c:spPr>
        <a:noFill/>
        <a:ln w="25400">
          <a:noFill/>
        </a:ln>
      </c:spPr>
    </c:plotArea>
    <c:plotVisOnly val="1"/>
    <c:dispBlanksAs val="zero"/>
  </c:chart>
  <c:spPr>
    <a:effectLst>
      <a:outerShdw blurRad="50800" dist="38100" dir="2700000" algn="tl" rotWithShape="0">
        <a:prstClr val="black">
          <a:alpha val="40000"/>
        </a:prstClr>
      </a:outerShdw>
    </a:effectLst>
  </c:spPr>
  <c:externalData r:id="rId1"/>
</c:chartSpace>
</file>

<file path=word/charts/chart6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ESTADO</a:t>
            </a:r>
            <a:r>
              <a:rPr lang="es-MX" sz="1400" baseline="0"/>
              <a:t> DE VERACRUZ. VENTA DE VEHICULOS POR MUNICIPIO. 2008</a:t>
            </a:r>
            <a:endParaRPr lang="es-MX" sz="14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8"/>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Hoja1!$M$5:$M$15</c:f>
              <c:strCache>
                <c:ptCount val="11"/>
                <c:pt idx="0">
                  <c:v>MARTINEZ DE LA TORRE</c:v>
                </c:pt>
                <c:pt idx="1">
                  <c:v>SAN ANDRES TUXTLA</c:v>
                </c:pt>
                <c:pt idx="2">
                  <c:v>TUXPAN</c:v>
                </c:pt>
                <c:pt idx="3">
                  <c:v>ORIZABA</c:v>
                </c:pt>
                <c:pt idx="4">
                  <c:v>MINATITLAN</c:v>
                </c:pt>
                <c:pt idx="5">
                  <c:v>POZA RICA</c:v>
                </c:pt>
                <c:pt idx="6">
                  <c:v>BOCA DEL RIO</c:v>
                </c:pt>
                <c:pt idx="7">
                  <c:v>CORDOBA</c:v>
                </c:pt>
                <c:pt idx="8">
                  <c:v>COATZACOALCOS</c:v>
                </c:pt>
                <c:pt idx="9">
                  <c:v>JALAPA</c:v>
                </c:pt>
                <c:pt idx="10">
                  <c:v>VERACRUZ</c:v>
                </c:pt>
              </c:strCache>
            </c:strRef>
          </c:cat>
          <c:val>
            <c:numRef>
              <c:f>Hoja1!$L$5:$L$15</c:f>
              <c:numCache>
                <c:formatCode>0</c:formatCode>
                <c:ptCount val="11"/>
                <c:pt idx="0">
                  <c:v>893</c:v>
                </c:pt>
                <c:pt idx="1">
                  <c:v>939</c:v>
                </c:pt>
                <c:pt idx="2" formatCode="#,##0">
                  <c:v>1667</c:v>
                </c:pt>
                <c:pt idx="3" formatCode="#,##0">
                  <c:v>2792</c:v>
                </c:pt>
                <c:pt idx="4" formatCode="#,##0">
                  <c:v>2804</c:v>
                </c:pt>
                <c:pt idx="5" formatCode="#,##0">
                  <c:v>4164</c:v>
                </c:pt>
                <c:pt idx="6" formatCode="#,##0">
                  <c:v>4338</c:v>
                </c:pt>
                <c:pt idx="7" formatCode="#,##0">
                  <c:v>4368</c:v>
                </c:pt>
                <c:pt idx="8" formatCode="#,##0">
                  <c:v>6201</c:v>
                </c:pt>
                <c:pt idx="9" formatCode="#,##0">
                  <c:v>7151</c:v>
                </c:pt>
                <c:pt idx="10" formatCode="#,##0">
                  <c:v>10395</c:v>
                </c:pt>
              </c:numCache>
            </c:numRef>
          </c:val>
        </c:ser>
        <c:dLbls>
          <c:showVal val="1"/>
        </c:dLbls>
        <c:gapWidth val="90"/>
        <c:shape val="box"/>
        <c:axId val="78856576"/>
        <c:axId val="78858112"/>
        <c:axId val="0"/>
      </c:bar3DChart>
      <c:catAx>
        <c:axId val="78856576"/>
        <c:scaling>
          <c:orientation val="minMax"/>
        </c:scaling>
        <c:axPos val="l"/>
        <c:majorTickMark val="none"/>
        <c:tickLblPos val="nextTo"/>
        <c:crossAx val="78858112"/>
        <c:crosses val="autoZero"/>
        <c:auto val="1"/>
        <c:lblAlgn val="ctr"/>
        <c:lblOffset val="100"/>
      </c:catAx>
      <c:valAx>
        <c:axId val="78858112"/>
        <c:scaling>
          <c:orientation val="minMax"/>
        </c:scaling>
        <c:delete val="1"/>
        <c:axPos val="b"/>
        <c:numFmt formatCode="0" sourceLinked="1"/>
        <c:tickLblPos val="none"/>
        <c:crossAx val="7885657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6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COATZACOALCOS.</a:t>
            </a:r>
            <a:r>
              <a:rPr lang="es-MX" sz="1400" baseline="0"/>
              <a:t> VENTA DE VEHICULOS (2008).</a:t>
            </a:r>
            <a:endParaRPr lang="es-MX" sz="14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9.4330904040858643E-2"/>
          <c:y val="0.29463369378178306"/>
          <c:w val="0.84316925260807229"/>
          <c:h val="0.60228202749365778"/>
        </c:manualLayout>
      </c:layout>
      <c:pie3DChart>
        <c:varyColors val="1"/>
        <c:ser>
          <c:idx val="0"/>
          <c:order val="0"/>
          <c:explosion val="25"/>
          <c:dPt>
            <c:idx val="1"/>
            <c:spPr>
              <a:solidFill>
                <a:srgbClr val="FFFF00"/>
              </a:solidFill>
            </c:spPr>
          </c:dPt>
          <c:dPt>
            <c:idx val="2"/>
            <c:spPr>
              <a:solidFill>
                <a:srgbClr val="00B050"/>
              </a:solidFill>
            </c:spPr>
          </c:dPt>
          <c:dPt>
            <c:idx val="4"/>
            <c:spPr>
              <a:solidFill>
                <a:schemeClr val="tx2">
                  <a:lumMod val="60000"/>
                  <a:lumOff val="40000"/>
                </a:schemeClr>
              </a:solidFill>
            </c:spPr>
          </c:dPt>
          <c:dPt>
            <c:idx val="5"/>
            <c:spPr>
              <a:solidFill>
                <a:srgbClr val="FF9900"/>
              </a:solidFill>
            </c:spPr>
          </c:dPt>
          <c:dLbls>
            <c:dLbl>
              <c:idx val="0"/>
              <c:layout>
                <c:manualLayout>
                  <c:x val="-0.17250110793509379"/>
                  <c:y val="9.1975177946560252E-2"/>
                </c:manualLayout>
              </c:layout>
              <c:tx>
                <c:rich>
                  <a:bodyPr/>
                  <a:lstStyle/>
                  <a:p>
                    <a:r>
                      <a:rPr lang="en-US" sz="900"/>
                      <a:t>SUBCOMPACTOS
1,712</a:t>
                    </a:r>
                  </a:p>
                </c:rich>
              </c:tx>
              <c:showCatName val="1"/>
              <c:showPercent val="1"/>
            </c:dLbl>
            <c:dLbl>
              <c:idx val="1"/>
              <c:tx>
                <c:rich>
                  <a:bodyPr/>
                  <a:lstStyle/>
                  <a:p>
                    <a:r>
                      <a:rPr lang="en-US" sz="900"/>
                      <a:t>COMPACTOS
1,232</a:t>
                    </a:r>
                  </a:p>
                </c:rich>
              </c:tx>
              <c:showCatName val="1"/>
              <c:showPercent val="1"/>
            </c:dLbl>
            <c:dLbl>
              <c:idx val="2"/>
              <c:tx>
                <c:rich>
                  <a:bodyPr/>
                  <a:lstStyle/>
                  <a:p>
                    <a:r>
                      <a:rPr lang="en-US" sz="900"/>
                      <a:t>DE LUJO
133</a:t>
                    </a:r>
                  </a:p>
                </c:rich>
              </c:tx>
              <c:showCatName val="1"/>
              <c:showPercent val="1"/>
            </c:dLbl>
            <c:dLbl>
              <c:idx val="3"/>
              <c:tx>
                <c:rich>
                  <a:bodyPr/>
                  <a:lstStyle/>
                  <a:p>
                    <a:r>
                      <a:rPr lang="en-US" sz="900"/>
                      <a:t>DEPORTIVOS
6</a:t>
                    </a:r>
                  </a:p>
                </c:rich>
              </c:tx>
              <c:showCatName val="1"/>
              <c:showPercent val="1"/>
            </c:dLbl>
            <c:dLbl>
              <c:idx val="4"/>
              <c:tx>
                <c:rich>
                  <a:bodyPr/>
                  <a:lstStyle/>
                  <a:p>
                    <a:r>
                      <a:rPr lang="en-US" sz="900"/>
                      <a:t>USO MULTIPLE
1,408</a:t>
                    </a:r>
                  </a:p>
                </c:rich>
              </c:tx>
              <c:showCatName val="1"/>
              <c:showPercent val="1"/>
            </c:dLbl>
            <c:dLbl>
              <c:idx val="5"/>
              <c:tx>
                <c:rich>
                  <a:bodyPr/>
                  <a:lstStyle/>
                  <a:p>
                    <a:r>
                      <a:rPr lang="en-US" sz="900"/>
                      <a:t>CAMIONES
1,710</a:t>
                    </a:r>
                  </a:p>
                </c:rich>
              </c:tx>
              <c:showCatName val="1"/>
              <c:showPercent val="1"/>
            </c:dLbl>
            <c:txPr>
              <a:bodyPr/>
              <a:lstStyle/>
              <a:p>
                <a:pPr>
                  <a:defRPr sz="900"/>
                </a:pPr>
                <a:endParaRPr lang="es-MX"/>
              </a:p>
            </c:txPr>
            <c:showCatName val="1"/>
            <c:showPercent val="1"/>
            <c:showLeaderLines val="1"/>
          </c:dLbls>
          <c:cat>
            <c:strRef>
              <c:f>(Hoja1!$B$4:$E$4,Hoja1!$G$4:$H$4)</c:f>
              <c:strCache>
                <c:ptCount val="6"/>
                <c:pt idx="0">
                  <c:v>SUBCOMPACTOS</c:v>
                </c:pt>
                <c:pt idx="1">
                  <c:v>COMPACTOS</c:v>
                </c:pt>
                <c:pt idx="2">
                  <c:v>DE LUJO</c:v>
                </c:pt>
                <c:pt idx="3">
                  <c:v>DEPORTIVOS</c:v>
                </c:pt>
                <c:pt idx="4">
                  <c:v>USO MULTIPLE</c:v>
                </c:pt>
                <c:pt idx="5">
                  <c:v>CAMIONES</c:v>
                </c:pt>
              </c:strCache>
            </c:strRef>
          </c:cat>
          <c:val>
            <c:numRef>
              <c:f>(Hoja1!$B$6:$E$6,Hoja1!$G$6:$H$6)</c:f>
              <c:numCache>
                <c:formatCode>#,##0</c:formatCode>
                <c:ptCount val="6"/>
                <c:pt idx="0">
                  <c:v>1712</c:v>
                </c:pt>
                <c:pt idx="1">
                  <c:v>1232</c:v>
                </c:pt>
                <c:pt idx="2" formatCode="0">
                  <c:v>133</c:v>
                </c:pt>
                <c:pt idx="3" formatCode="0">
                  <c:v>6</c:v>
                </c:pt>
                <c:pt idx="4">
                  <c:v>1408</c:v>
                </c:pt>
                <c:pt idx="5">
                  <c:v>1710</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chartSpace>
</file>

<file path=word/charts/chart6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b="0"/>
            </a:pPr>
            <a:r>
              <a:rPr lang="es-MX" sz="1100" b="0">
                <a:latin typeface="Arial" pitchFamily="34" charset="0"/>
                <a:cs typeface="Arial" pitchFamily="34" charset="0"/>
              </a:rPr>
              <a:t>ESTADO.</a:t>
            </a:r>
            <a:r>
              <a:rPr lang="es-MX" sz="1100" b="0" baseline="0">
                <a:latin typeface="Arial" pitchFamily="34" charset="0"/>
                <a:cs typeface="Arial" pitchFamily="34" charset="0"/>
              </a:rPr>
              <a:t> ESTACIONES DE TELEVISION POR MUNICIPIO. (2007)</a:t>
            </a:r>
            <a:endParaRPr lang="es-MX" sz="1100" b="0">
              <a:latin typeface="Arial" pitchFamily="34" charset="0"/>
              <a:cs typeface="Arial" pitchFamily="34" charset="0"/>
            </a:endParaRPr>
          </a:p>
        </c:rich>
      </c:tx>
      <c:layout>
        <c:manualLayout>
          <c:xMode val="edge"/>
          <c:yMode val="edge"/>
          <c:x val="0.11348171825056518"/>
          <c:y val="3.3023735810113655E-2"/>
        </c:manualLayout>
      </c:layout>
      <c:overlay val="1"/>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plotArea>
      <c:layout>
        <c:manualLayout>
          <c:layoutTarget val="inner"/>
          <c:xMode val="edge"/>
          <c:yMode val="edge"/>
          <c:x val="0.34482108053325333"/>
          <c:y val="0.18163054695562436"/>
          <c:w val="0.61887528910372158"/>
          <c:h val="0.77296181630548844"/>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5"/>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'estaciones de tv'!$F$9:$F$15</c:f>
              <c:strCache>
                <c:ptCount val="7"/>
                <c:pt idx="0">
                  <c:v>San Andrés Tuxtla</c:v>
                </c:pt>
                <c:pt idx="1">
                  <c:v>Veracruz</c:v>
                </c:pt>
                <c:pt idx="2">
                  <c:v>Cerro Azul</c:v>
                </c:pt>
                <c:pt idx="3">
                  <c:v>Perote</c:v>
                </c:pt>
                <c:pt idx="4">
                  <c:v>Santiago Tuxtla</c:v>
                </c:pt>
                <c:pt idx="5">
                  <c:v>Coatzacoalcos</c:v>
                </c:pt>
                <c:pt idx="6">
                  <c:v>Las Vigas de Ramírez</c:v>
                </c:pt>
              </c:strCache>
            </c:strRef>
          </c:cat>
          <c:val>
            <c:numRef>
              <c:f>'estaciones de tv'!$G$9:$G$15</c:f>
              <c:numCache>
                <c:formatCode>General</c:formatCode>
                <c:ptCount val="7"/>
                <c:pt idx="0">
                  <c:v>1</c:v>
                </c:pt>
                <c:pt idx="1">
                  <c:v>1</c:v>
                </c:pt>
                <c:pt idx="2">
                  <c:v>2</c:v>
                </c:pt>
                <c:pt idx="3">
                  <c:v>2</c:v>
                </c:pt>
                <c:pt idx="4">
                  <c:v>2</c:v>
                </c:pt>
                <c:pt idx="5">
                  <c:v>4</c:v>
                </c:pt>
                <c:pt idx="6">
                  <c:v>4</c:v>
                </c:pt>
              </c:numCache>
            </c:numRef>
          </c:val>
        </c:ser>
        <c:dLbls>
          <c:showVal val="1"/>
        </c:dLbls>
        <c:gapWidth val="91"/>
        <c:shape val="box"/>
        <c:axId val="78956416"/>
        <c:axId val="78957952"/>
        <c:axId val="0"/>
      </c:bar3DChart>
      <c:catAx>
        <c:axId val="78956416"/>
        <c:scaling>
          <c:orientation val="minMax"/>
        </c:scaling>
        <c:axPos val="l"/>
        <c:tickLblPos val="nextTo"/>
        <c:crossAx val="78957952"/>
        <c:crosses val="autoZero"/>
        <c:auto val="1"/>
        <c:lblAlgn val="ctr"/>
        <c:lblOffset val="100"/>
      </c:catAx>
      <c:valAx>
        <c:axId val="78957952"/>
        <c:scaling>
          <c:orientation val="minMax"/>
        </c:scaling>
        <c:delete val="1"/>
        <c:axPos val="b"/>
        <c:numFmt formatCode="General" sourceLinked="1"/>
        <c:tickLblPos val="none"/>
        <c:crossAx val="7895641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6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100" b="0"/>
              <a:t>ESTADO.</a:t>
            </a:r>
            <a:r>
              <a:rPr lang="es-MX" sz="1100" b="0" baseline="0"/>
              <a:t> SUSCRIPTORES DEL SERVICIO DE TELEVISION RESTRINGUIDA POR MUNICIPIO (2007).</a:t>
            </a:r>
            <a:endParaRPr lang="es-MX" sz="1100" b="0"/>
          </a:p>
        </c:rich>
      </c:tx>
      <c:layout>
        <c:manualLayout>
          <c:xMode val="edge"/>
          <c:yMode val="edge"/>
          <c:x val="0.15820148867201247"/>
          <c:y val="1.120448179271746E-2"/>
        </c:manualLayout>
      </c:layout>
      <c:overlay val="1"/>
      <c:spPr>
        <a:ln>
          <a:solidFill>
            <a:sysClr val="windowText" lastClr="000000"/>
          </a:solidFill>
        </a:ln>
      </c:spPr>
    </c:title>
    <c:view3D>
      <c:rAngAx val="1"/>
    </c:view3D>
    <c:floor>
      <c:spPr>
        <a:noFill/>
        <a:ln w="9525">
          <a:noFill/>
        </a:ln>
      </c:spPr>
    </c:floor>
    <c:plotArea>
      <c:layout>
        <c:manualLayout>
          <c:layoutTarget val="inner"/>
          <c:xMode val="edge"/>
          <c:yMode val="edge"/>
          <c:x val="0.35056375159313513"/>
          <c:y val="0.16666666666666666"/>
          <c:w val="0.61888064435405188"/>
          <c:h val="0.78240740740740744"/>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6"/>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'estaciones de tv'!$E$30:$E$39</c:f>
              <c:strCache>
                <c:ptCount val="10"/>
                <c:pt idx="0">
                  <c:v>Naranjos Amatlán</c:v>
                </c:pt>
                <c:pt idx="1">
                  <c:v>Acayucan</c:v>
                </c:pt>
                <c:pt idx="2">
                  <c:v>Río Blanco</c:v>
                </c:pt>
                <c:pt idx="3">
                  <c:v>San Andrés Tuxtla</c:v>
                </c:pt>
                <c:pt idx="4">
                  <c:v>Poza Rica de Hidalgo</c:v>
                </c:pt>
                <c:pt idx="5">
                  <c:v>Orizaba</c:v>
                </c:pt>
                <c:pt idx="6">
                  <c:v>Coatzacoalcos</c:v>
                </c:pt>
                <c:pt idx="7">
                  <c:v>Córdoba</c:v>
                </c:pt>
                <c:pt idx="8">
                  <c:v>Xalapa</c:v>
                </c:pt>
                <c:pt idx="9">
                  <c:v>Veracruz</c:v>
                </c:pt>
              </c:strCache>
            </c:strRef>
          </c:cat>
          <c:val>
            <c:numRef>
              <c:f>'estaciones de tv'!$F$30:$F$39</c:f>
              <c:numCache>
                <c:formatCode>#,##0</c:formatCode>
                <c:ptCount val="10"/>
                <c:pt idx="0">
                  <c:v>4070</c:v>
                </c:pt>
                <c:pt idx="1">
                  <c:v>5178</c:v>
                </c:pt>
                <c:pt idx="2">
                  <c:v>5300</c:v>
                </c:pt>
                <c:pt idx="3">
                  <c:v>6607</c:v>
                </c:pt>
                <c:pt idx="4">
                  <c:v>9130</c:v>
                </c:pt>
                <c:pt idx="5">
                  <c:v>9350</c:v>
                </c:pt>
                <c:pt idx="6">
                  <c:v>9668</c:v>
                </c:pt>
                <c:pt idx="7">
                  <c:v>16510</c:v>
                </c:pt>
                <c:pt idx="8">
                  <c:v>30189</c:v>
                </c:pt>
                <c:pt idx="9">
                  <c:v>42334</c:v>
                </c:pt>
              </c:numCache>
            </c:numRef>
          </c:val>
        </c:ser>
        <c:dLbls>
          <c:showVal val="1"/>
        </c:dLbls>
        <c:gapWidth val="72"/>
        <c:shape val="box"/>
        <c:axId val="78987264"/>
        <c:axId val="78988800"/>
        <c:axId val="0"/>
      </c:bar3DChart>
      <c:catAx>
        <c:axId val="78987264"/>
        <c:scaling>
          <c:orientation val="minMax"/>
        </c:scaling>
        <c:axPos val="l"/>
        <c:tickLblPos val="nextTo"/>
        <c:crossAx val="78988800"/>
        <c:crosses val="autoZero"/>
        <c:auto val="1"/>
        <c:lblAlgn val="ctr"/>
        <c:lblOffset val="100"/>
      </c:catAx>
      <c:valAx>
        <c:axId val="78988800"/>
        <c:scaling>
          <c:orientation val="minMax"/>
        </c:scaling>
        <c:delete val="1"/>
        <c:axPos val="b"/>
        <c:numFmt formatCode="#,##0" sourceLinked="1"/>
        <c:tickLblPos val="none"/>
        <c:crossAx val="78987264"/>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6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s-MX" sz="1000"/>
              <a:t>VERACRUZ.</a:t>
            </a:r>
            <a:r>
              <a:rPr lang="es-MX" sz="1000" baseline="0"/>
              <a:t> ESTACIONES RADIODIFUSORAS POR PRINCIPALES MUNICIPIOS. 2007</a:t>
            </a:r>
            <a:endParaRPr lang="es-MX" sz="1000"/>
          </a:p>
        </c:rich>
      </c:tx>
      <c:spPr>
        <a:ln>
          <a:solidFill>
            <a:schemeClr val="tx1"/>
          </a:solidFill>
        </a:ln>
        <a:effectLst>
          <a:outerShdw blurRad="50800" dist="38100" dir="2700000" algn="tl" rotWithShape="0">
            <a:prstClr val="black">
              <a:alpha val="40000"/>
            </a:prstClr>
          </a:outerShdw>
        </a:effectLst>
      </c:spPr>
    </c:title>
    <c:view3D>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B/>
            </a:sp3d>
          </c:spPr>
          <c:dPt>
            <c:idx val="7"/>
            <c:spPr>
              <a:solidFill>
                <a:srgbClr val="FF0000"/>
              </a:solidFill>
              <a:effectLst>
                <a:outerShdw blurRad="50800" dist="38100" dir="2700000" algn="tl" rotWithShape="0">
                  <a:prstClr val="black">
                    <a:alpha val="40000"/>
                  </a:prstClr>
                </a:outerShdw>
              </a:effectLst>
              <a:scene3d>
                <a:camera prst="orthographicFront"/>
                <a:lightRig rig="threePt" dir="t"/>
              </a:scene3d>
              <a:sp3d>
                <a:bevelB/>
              </a:sp3d>
            </c:spPr>
          </c:dPt>
          <c:dLbls>
            <c:txPr>
              <a:bodyPr/>
              <a:lstStyle/>
              <a:p>
                <a:pPr>
                  <a:defRPr sz="800"/>
                </a:pPr>
                <a:endParaRPr lang="es-MX"/>
              </a:p>
            </c:txPr>
            <c:showVal val="1"/>
          </c:dLbls>
          <c:cat>
            <c:strRef>
              <c:f>radio!$M$50:$M$59</c:f>
              <c:strCache>
                <c:ptCount val="10"/>
                <c:pt idx="0">
                  <c:v>Papantla</c:v>
                </c:pt>
                <c:pt idx="1">
                  <c:v>Boca del Río</c:v>
                </c:pt>
                <c:pt idx="2">
                  <c:v>Córdoba</c:v>
                </c:pt>
                <c:pt idx="3">
                  <c:v>Fortín</c:v>
                </c:pt>
                <c:pt idx="4">
                  <c:v>Poza Rica de Hidalgo</c:v>
                </c:pt>
                <c:pt idx="5">
                  <c:v>Pueblo Viejo</c:v>
                </c:pt>
                <c:pt idx="6">
                  <c:v>Tuxpan</c:v>
                </c:pt>
                <c:pt idx="7">
                  <c:v>Coatzacoalcos</c:v>
                </c:pt>
                <c:pt idx="8">
                  <c:v>Xalapa</c:v>
                </c:pt>
                <c:pt idx="9">
                  <c:v>Veracruz</c:v>
                </c:pt>
              </c:strCache>
            </c:strRef>
          </c:cat>
          <c:val>
            <c:numRef>
              <c:f>radio!$N$50:$N$59</c:f>
              <c:numCache>
                <c:formatCode>General</c:formatCode>
                <c:ptCount val="10"/>
                <c:pt idx="0">
                  <c:v>3</c:v>
                </c:pt>
                <c:pt idx="1">
                  <c:v>4</c:v>
                </c:pt>
                <c:pt idx="2">
                  <c:v>4</c:v>
                </c:pt>
                <c:pt idx="3">
                  <c:v>6</c:v>
                </c:pt>
                <c:pt idx="4">
                  <c:v>6</c:v>
                </c:pt>
                <c:pt idx="5">
                  <c:v>6</c:v>
                </c:pt>
                <c:pt idx="6">
                  <c:v>7</c:v>
                </c:pt>
                <c:pt idx="7">
                  <c:v>8</c:v>
                </c:pt>
                <c:pt idx="8">
                  <c:v>11</c:v>
                </c:pt>
                <c:pt idx="9">
                  <c:v>13</c:v>
                </c:pt>
              </c:numCache>
            </c:numRef>
          </c:val>
        </c:ser>
        <c:dLbls>
          <c:showVal val="1"/>
        </c:dLbls>
        <c:gapWidth val="80"/>
        <c:gapDepth val="100"/>
        <c:shape val="cylinder"/>
        <c:axId val="79002624"/>
        <c:axId val="79033088"/>
        <c:axId val="0"/>
      </c:bar3DChart>
      <c:catAx>
        <c:axId val="79002624"/>
        <c:scaling>
          <c:orientation val="minMax"/>
        </c:scaling>
        <c:axPos val="l"/>
        <c:majorTickMark val="none"/>
        <c:tickLblPos val="nextTo"/>
        <c:txPr>
          <a:bodyPr/>
          <a:lstStyle/>
          <a:p>
            <a:pPr>
              <a:defRPr sz="800"/>
            </a:pPr>
            <a:endParaRPr lang="es-MX"/>
          </a:p>
        </c:txPr>
        <c:crossAx val="79033088"/>
        <c:crosses val="autoZero"/>
        <c:auto val="1"/>
        <c:lblAlgn val="ctr"/>
        <c:lblOffset val="100"/>
      </c:catAx>
      <c:valAx>
        <c:axId val="79033088"/>
        <c:scaling>
          <c:orientation val="minMax"/>
        </c:scaling>
        <c:delete val="1"/>
        <c:axPos val="b"/>
        <c:title>
          <c:tx>
            <c:rich>
              <a:bodyPr/>
              <a:lstStyle/>
              <a:p>
                <a:pPr algn="ctr">
                  <a:defRPr sz="700" b="0">
                    <a:latin typeface="Arial" pitchFamily="34" charset="0"/>
                    <a:cs typeface="Arial" pitchFamily="34" charset="0"/>
                  </a:defRPr>
                </a:pPr>
                <a:r>
                  <a:rPr lang="es-MX" sz="700" b="0">
                    <a:latin typeface="Arial" pitchFamily="34" charset="0"/>
                    <a:cs typeface="Arial" pitchFamily="34" charset="0"/>
                  </a:rPr>
                  <a:t>Fuente:</a:t>
                </a:r>
                <a:r>
                  <a:rPr lang="es-MX" sz="700" b="0" baseline="0">
                    <a:latin typeface="Arial" pitchFamily="34" charset="0"/>
                    <a:cs typeface="Arial" pitchFamily="34" charset="0"/>
                  </a:rPr>
                  <a:t> Elaborado con datos del Anuario Estadístico del estado de Veracruz 2008, INEGI</a:t>
                </a:r>
                <a:endParaRPr lang="es-MX" sz="700" b="0">
                  <a:latin typeface="Arial" pitchFamily="34" charset="0"/>
                  <a:cs typeface="Arial" pitchFamily="34" charset="0"/>
                </a:endParaRPr>
              </a:p>
            </c:rich>
          </c:tx>
          <c:layout>
            <c:manualLayout>
              <c:xMode val="edge"/>
              <c:yMode val="edge"/>
              <c:x val="0.10437816093361622"/>
              <c:y val="0.94666565563512828"/>
            </c:manualLayout>
          </c:layout>
        </c:title>
        <c:numFmt formatCode="General" sourceLinked="1"/>
        <c:tickLblPos val="none"/>
        <c:crossAx val="79002624"/>
        <c:crosses val="autoZero"/>
        <c:crossBetween val="between"/>
      </c:valAx>
    </c:plotArea>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6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s-MX" sz="1000"/>
              <a:t>VERACRUZ.</a:t>
            </a:r>
            <a:r>
              <a:rPr lang="es-MX" sz="1000" baseline="0"/>
              <a:t> USUARIOS DE COMUNICACIÓN PRIVADA ONDA CORTA POR PRINCIPALES MUNICIPIOS. 2007</a:t>
            </a:r>
            <a:endParaRPr lang="es-MX" sz="1000"/>
          </a:p>
        </c:rich>
      </c:tx>
      <c:spPr>
        <a:ln>
          <a:solidFill>
            <a:sysClr val="windowText" lastClr="000000"/>
          </a:solidFill>
        </a:ln>
        <a:effectLst>
          <a:outerShdw blurRad="50800" dist="38100" dir="2700000" algn="tl" rotWithShape="0">
            <a:prstClr val="black">
              <a:alpha val="40000"/>
            </a:prstClr>
          </a:outerShdw>
        </a:effectLst>
      </c:spPr>
    </c:title>
    <c:view3D>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B/>
            </a:sp3d>
          </c:spPr>
          <c:dPt>
            <c:idx val="8"/>
            <c:spPr>
              <a:solidFill>
                <a:srgbClr val="FF0000"/>
              </a:solidFill>
              <a:effectLst>
                <a:outerShdw blurRad="50800" dist="38100" dir="2700000" algn="tl" rotWithShape="0">
                  <a:prstClr val="black">
                    <a:alpha val="40000"/>
                  </a:prstClr>
                </a:outerShdw>
              </a:effectLst>
              <a:scene3d>
                <a:camera prst="orthographicFront"/>
                <a:lightRig rig="threePt" dir="t"/>
              </a:scene3d>
              <a:sp3d>
                <a:bevelB/>
              </a:sp3d>
            </c:spPr>
          </c:dPt>
          <c:cat>
            <c:strRef>
              <c:f>usuarios!$J$74:$J$83</c:f>
              <c:strCache>
                <c:ptCount val="10"/>
                <c:pt idx="0">
                  <c:v>Isla</c:v>
                </c:pt>
                <c:pt idx="1">
                  <c:v>Minatitlán</c:v>
                </c:pt>
                <c:pt idx="2">
                  <c:v>Orizaba</c:v>
                </c:pt>
                <c:pt idx="3">
                  <c:v>Acayucan</c:v>
                </c:pt>
                <c:pt idx="4">
                  <c:v>Tuxpan</c:v>
                </c:pt>
                <c:pt idx="5">
                  <c:v>Poza Rica de Hidalgo</c:v>
                </c:pt>
                <c:pt idx="6">
                  <c:v>Córdoba</c:v>
                </c:pt>
                <c:pt idx="7">
                  <c:v>Xalapa</c:v>
                </c:pt>
                <c:pt idx="8">
                  <c:v>Coatzacoalcos</c:v>
                </c:pt>
                <c:pt idx="9">
                  <c:v>Veracruz</c:v>
                </c:pt>
              </c:strCache>
            </c:strRef>
          </c:cat>
          <c:val>
            <c:numRef>
              <c:f>usuarios!$K$74:$K$83</c:f>
              <c:numCache>
                <c:formatCode>#,##0</c:formatCode>
                <c:ptCount val="10"/>
                <c:pt idx="0">
                  <c:v>12</c:v>
                </c:pt>
                <c:pt idx="1">
                  <c:v>12</c:v>
                </c:pt>
                <c:pt idx="2">
                  <c:v>12</c:v>
                </c:pt>
                <c:pt idx="3">
                  <c:v>14</c:v>
                </c:pt>
                <c:pt idx="4">
                  <c:v>15</c:v>
                </c:pt>
                <c:pt idx="5">
                  <c:v>20</c:v>
                </c:pt>
                <c:pt idx="6">
                  <c:v>23</c:v>
                </c:pt>
                <c:pt idx="7">
                  <c:v>28</c:v>
                </c:pt>
                <c:pt idx="8">
                  <c:v>48</c:v>
                </c:pt>
                <c:pt idx="9">
                  <c:v>63</c:v>
                </c:pt>
              </c:numCache>
            </c:numRef>
          </c:val>
        </c:ser>
        <c:dLbls>
          <c:showVal val="1"/>
        </c:dLbls>
        <c:gapWidth val="80"/>
        <c:gapDepth val="100"/>
        <c:shape val="cylinder"/>
        <c:axId val="78479744"/>
        <c:axId val="78481280"/>
        <c:axId val="0"/>
      </c:bar3DChart>
      <c:catAx>
        <c:axId val="78479744"/>
        <c:scaling>
          <c:orientation val="minMax"/>
        </c:scaling>
        <c:axPos val="l"/>
        <c:tickLblPos val="nextTo"/>
        <c:crossAx val="78481280"/>
        <c:crosses val="autoZero"/>
        <c:auto val="1"/>
        <c:lblAlgn val="ctr"/>
        <c:lblOffset val="100"/>
      </c:catAx>
      <c:valAx>
        <c:axId val="78481280"/>
        <c:scaling>
          <c:orientation val="minMax"/>
        </c:scaling>
        <c:delete val="1"/>
        <c:axPos val="b"/>
        <c:title>
          <c:tx>
            <c:rich>
              <a:bodyPr/>
              <a:lstStyle/>
              <a:p>
                <a:pPr algn="r">
                  <a:defRPr sz="700" b="0"/>
                </a:pPr>
                <a:r>
                  <a:rPr lang="es-MX" sz="700" b="0">
                    <a:latin typeface="Arial" pitchFamily="34" charset="0"/>
                    <a:cs typeface="Arial" pitchFamily="34" charset="0"/>
                  </a:rPr>
                  <a:t>Fuente:</a:t>
                </a:r>
                <a:r>
                  <a:rPr lang="es-MX" sz="700" b="0" baseline="0">
                    <a:latin typeface="Arial" pitchFamily="34" charset="0"/>
                    <a:cs typeface="Arial" pitchFamily="34" charset="0"/>
                  </a:rPr>
                  <a:t> Elaborado con datos del Anurio Estadístico del estado de Veracruz 2008, INEGI</a:t>
                </a:r>
                <a:endParaRPr lang="es-MX" sz="700" b="0">
                  <a:latin typeface="Arial" pitchFamily="34" charset="0"/>
                  <a:cs typeface="Arial" pitchFamily="34" charset="0"/>
                </a:endParaRPr>
              </a:p>
            </c:rich>
          </c:tx>
          <c:layout>
            <c:manualLayout>
              <c:xMode val="edge"/>
              <c:yMode val="edge"/>
              <c:x val="0.11925730633309015"/>
              <c:y val="0.95824660597473554"/>
            </c:manualLayout>
          </c:layout>
        </c:title>
        <c:numFmt formatCode="#,##0" sourceLinked="1"/>
        <c:tickLblPos val="none"/>
        <c:crossAx val="78479744"/>
        <c:crosses val="autoZero"/>
        <c:crossBetween val="between"/>
      </c:valAx>
    </c:plotArea>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6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b="0"/>
            </a:pPr>
            <a:r>
              <a:rPr lang="en-US" sz="1200" b="0">
                <a:latin typeface="Arial" pitchFamily="34" charset="0"/>
                <a:cs typeface="Arial" pitchFamily="34" charset="0"/>
              </a:rPr>
              <a:t>ESTADO.  </a:t>
            </a:r>
            <a:r>
              <a:rPr lang="en-US" sz="1200" b="0" baseline="0">
                <a:latin typeface="Arial" pitchFamily="34" charset="0"/>
                <a:cs typeface="Arial" pitchFamily="34" charset="0"/>
              </a:rPr>
              <a:t>SUCURSALES DE LA BANCA COMERCIAL POR MUNICIPIO. 2007</a:t>
            </a:r>
            <a:endParaRPr lang="en-US" sz="1200" b="0">
              <a:latin typeface="Arial" pitchFamily="34" charset="0"/>
              <a:cs typeface="Arial" pitchFamily="34" charset="0"/>
            </a:endParaRPr>
          </a:p>
        </c:rich>
      </c:tx>
      <c:overlay val="1"/>
      <c:spPr>
        <a:ln>
          <a:solidFill>
            <a:sysClr val="windowText" lastClr="000000"/>
          </a:solidFill>
        </a:ln>
        <a:effectLst>
          <a:outerShdw blurRad="50800" dist="38100" dir="2700000" algn="tl" rotWithShape="0">
            <a:prstClr val="black">
              <a:alpha val="40000"/>
            </a:prstClr>
          </a:outerShdw>
        </a:effectLst>
      </c:spPr>
    </c:title>
    <c:view3D>
      <c:rotX val="0"/>
      <c:perspective val="0"/>
    </c:view3D>
    <c:floor>
      <c:spPr>
        <a:noFill/>
        <a:ln w="9525">
          <a:noFill/>
        </a:ln>
      </c:spPr>
    </c:floor>
    <c:plotArea>
      <c:layout>
        <c:manualLayout>
          <c:layoutTarget val="inner"/>
          <c:xMode val="edge"/>
          <c:yMode val="edge"/>
          <c:x val="0.26066885389326488"/>
          <c:y val="0.16301983176607579"/>
          <c:w val="0.71433114610673654"/>
          <c:h val="0.75416154126695556"/>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5"/>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Hoja3!$A$67:$A$74</c:f>
              <c:strCache>
                <c:ptCount val="8"/>
                <c:pt idx="0">
                  <c:v>BOCA DEL RÍO</c:v>
                </c:pt>
                <c:pt idx="1">
                  <c:v>MINATITLÁN</c:v>
                </c:pt>
                <c:pt idx="2">
                  <c:v>ORIZABA</c:v>
                </c:pt>
                <c:pt idx="3">
                  <c:v>CÓRDOBA</c:v>
                </c:pt>
                <c:pt idx="4">
                  <c:v>POZA RICA</c:v>
                </c:pt>
                <c:pt idx="5">
                  <c:v>COATZACOALCOS</c:v>
                </c:pt>
                <c:pt idx="6">
                  <c:v>JALAPA</c:v>
                </c:pt>
                <c:pt idx="7">
                  <c:v>VERACRUZ</c:v>
                </c:pt>
              </c:strCache>
            </c:strRef>
          </c:cat>
          <c:val>
            <c:numRef>
              <c:f>Hoja3!$B$67:$B$74</c:f>
              <c:numCache>
                <c:formatCode>General</c:formatCode>
                <c:ptCount val="8"/>
                <c:pt idx="0">
                  <c:v>13</c:v>
                </c:pt>
                <c:pt idx="1">
                  <c:v>18</c:v>
                </c:pt>
                <c:pt idx="2">
                  <c:v>21</c:v>
                </c:pt>
                <c:pt idx="3">
                  <c:v>23</c:v>
                </c:pt>
                <c:pt idx="4">
                  <c:v>28</c:v>
                </c:pt>
                <c:pt idx="5">
                  <c:v>31</c:v>
                </c:pt>
                <c:pt idx="6">
                  <c:v>41</c:v>
                </c:pt>
                <c:pt idx="7">
                  <c:v>65</c:v>
                </c:pt>
              </c:numCache>
            </c:numRef>
          </c:val>
        </c:ser>
        <c:dLbls>
          <c:showVal val="1"/>
        </c:dLbls>
        <c:gapWidth val="79"/>
        <c:shape val="box"/>
        <c:axId val="88027136"/>
        <c:axId val="88028672"/>
        <c:axId val="0"/>
      </c:bar3DChart>
      <c:catAx>
        <c:axId val="88027136"/>
        <c:scaling>
          <c:orientation val="minMax"/>
        </c:scaling>
        <c:axPos val="l"/>
        <c:tickLblPos val="nextTo"/>
        <c:txPr>
          <a:bodyPr/>
          <a:lstStyle/>
          <a:p>
            <a:pPr>
              <a:defRPr sz="800"/>
            </a:pPr>
            <a:endParaRPr lang="es-MX"/>
          </a:p>
        </c:txPr>
        <c:crossAx val="88028672"/>
        <c:crosses val="autoZero"/>
        <c:auto val="1"/>
        <c:lblAlgn val="ctr"/>
        <c:lblOffset val="100"/>
      </c:catAx>
      <c:valAx>
        <c:axId val="88028672"/>
        <c:scaling>
          <c:orientation val="minMax"/>
        </c:scaling>
        <c:delete val="1"/>
        <c:axPos val="b"/>
        <c:numFmt formatCode="General" sourceLinked="1"/>
        <c:tickLblPos val="none"/>
        <c:crossAx val="8802713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6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n-US" sz="1000"/>
              <a:t>COATZACOALCOS. PERSONAS</a:t>
            </a:r>
            <a:r>
              <a:rPr lang="en-US" sz="1000" baseline="0"/>
              <a:t> POR SUCURSAL DE LA BANCA. PRINCIPALES MUNICIPIOS. 2007</a:t>
            </a:r>
            <a:endParaRPr lang="en-US" sz="1000"/>
          </a:p>
        </c:rich>
      </c:tx>
      <c:spPr>
        <a:ln>
          <a:solidFill>
            <a:sysClr val="windowText" lastClr="000000"/>
          </a:solidFill>
        </a:ln>
        <a:effectLst>
          <a:outerShdw blurRad="50800" dist="38100" dir="2700000" algn="tl" rotWithShape="0">
            <a:prstClr val="black">
              <a:alpha val="40000"/>
            </a:prstClr>
          </a:outerShdw>
        </a:effectLst>
      </c:spPr>
    </c:title>
    <c:view3D>
      <c:rAngAx val="1"/>
    </c:view3D>
    <c:floor>
      <c:spPr>
        <a:noFill/>
        <a:ln w="9525">
          <a:noFill/>
        </a:ln>
      </c:spPr>
    </c:floor>
    <c:plotArea>
      <c:layout>
        <c:manualLayout>
          <c:layoutTarget val="inner"/>
          <c:xMode val="edge"/>
          <c:yMode val="edge"/>
          <c:x val="0.33374759808964438"/>
          <c:y val="0.14271976579320494"/>
          <c:w val="0.57968103660331727"/>
          <c:h val="0.80665992753242854"/>
        </c:manualLayout>
      </c:layout>
      <c:bar3DChart>
        <c:barDir val="bar"/>
        <c:grouping val="clustered"/>
        <c:ser>
          <c:idx val="0"/>
          <c:order val="0"/>
          <c:tx>
            <c:strRef>
              <c:f>[1]Banca!$X$12</c:f>
              <c:strCache>
                <c:ptCount val="1"/>
                <c:pt idx="0">
                  <c:v>Personas x sucursal</c:v>
                </c:pt>
              </c:strCache>
            </c:strRef>
          </c:tx>
          <c:spPr>
            <a:solidFill>
              <a:schemeClr val="accent3"/>
            </a:solidFill>
            <a:effectLst>
              <a:outerShdw blurRad="50800" dist="38100" dir="2700000" algn="tl" rotWithShape="0">
                <a:prstClr val="black">
                  <a:alpha val="40000"/>
                </a:prstClr>
              </a:outerShdw>
            </a:effectLst>
            <a:scene3d>
              <a:camera prst="orthographicFront"/>
              <a:lightRig rig="threePt" dir="t"/>
            </a:scene3d>
            <a:sp3d>
              <a:bevelB/>
            </a:sp3d>
          </c:spPr>
          <c:dPt>
            <c:idx val="7"/>
            <c:spPr>
              <a:solidFill>
                <a:srgbClr val="FF0000"/>
              </a:solidFill>
              <a:effectLst>
                <a:outerShdw blurRad="50800" dist="38100" dir="2700000" algn="tl" rotWithShape="0">
                  <a:prstClr val="black">
                    <a:alpha val="40000"/>
                  </a:prstClr>
                </a:outerShdw>
              </a:effectLst>
              <a:scene3d>
                <a:camera prst="orthographicFront"/>
                <a:lightRig rig="threePt" dir="t"/>
              </a:scene3d>
              <a:sp3d>
                <a:bevelB/>
              </a:sp3d>
            </c:spPr>
          </c:dPt>
          <c:dLbls>
            <c:dLbl>
              <c:idx val="13"/>
              <c:layout>
                <c:manualLayout>
                  <c:x val="1.9088340250632263E-3"/>
                  <c:y val="-6.1023421098142976E-3"/>
                </c:manualLayout>
              </c:layout>
              <c:numFmt formatCode="#,##0" sourceLinked="0"/>
              <c:spPr/>
              <c:txPr>
                <a:bodyPr/>
                <a:lstStyle/>
                <a:p>
                  <a:pPr>
                    <a:defRPr sz="800" b="0">
                      <a:solidFill>
                        <a:sysClr val="windowText" lastClr="000000"/>
                      </a:solidFill>
                    </a:defRPr>
                  </a:pPr>
                  <a:endParaRPr lang="es-MX"/>
                </a:p>
              </c:txPr>
              <c:showVal val="1"/>
            </c:dLbl>
            <c:numFmt formatCode="#,##0" sourceLinked="0"/>
            <c:txPr>
              <a:bodyPr/>
              <a:lstStyle/>
              <a:p>
                <a:pPr>
                  <a:defRPr sz="800"/>
                </a:pPr>
                <a:endParaRPr lang="es-MX"/>
              </a:p>
            </c:txPr>
            <c:showVal val="1"/>
          </c:dLbls>
          <c:cat>
            <c:strRef>
              <c:f>[1]Banca!$W$54:$W$68</c:f>
              <c:strCache>
                <c:ptCount val="15"/>
                <c:pt idx="0">
                  <c:v>AGUA DULCE</c:v>
                </c:pt>
                <c:pt idx="1">
                  <c:v>BOCA DEL RÍO</c:v>
                </c:pt>
                <c:pt idx="2">
                  <c:v>MARTÍNEZ DE LA TORRE</c:v>
                </c:pt>
                <c:pt idx="3">
                  <c:v>JALAPA</c:v>
                </c:pt>
                <c:pt idx="4">
                  <c:v>ACAYUCAN</c:v>
                </c:pt>
                <c:pt idx="5">
                  <c:v>VILLA LERDO DE TEJADA</c:v>
                </c:pt>
                <c:pt idx="6">
                  <c:v>COSAMALOAPAN</c:v>
                </c:pt>
                <c:pt idx="7">
                  <c:v>COATZACOALCOS</c:v>
                </c:pt>
                <c:pt idx="8">
                  <c:v>MINATITLÁN</c:v>
                </c:pt>
                <c:pt idx="9">
                  <c:v>CERRO AZUL</c:v>
                </c:pt>
                <c:pt idx="10">
                  <c:v>CÓRDOBA</c:v>
                </c:pt>
                <c:pt idx="11">
                  <c:v>VERACRUZ</c:v>
                </c:pt>
                <c:pt idx="12">
                  <c:v>NARANJOS</c:v>
                </c:pt>
                <c:pt idx="13">
                  <c:v>POZA RICA</c:v>
                </c:pt>
                <c:pt idx="14">
                  <c:v>ORIZABA</c:v>
                </c:pt>
              </c:strCache>
            </c:strRef>
          </c:cat>
          <c:val>
            <c:numRef>
              <c:f>[1]Banca!$X$54:$X$68</c:f>
              <c:numCache>
                <c:formatCode>General</c:formatCode>
                <c:ptCount val="15"/>
                <c:pt idx="0">
                  <c:v>11080.5</c:v>
                </c:pt>
                <c:pt idx="1">
                  <c:v>10915.846153846151</c:v>
                </c:pt>
                <c:pt idx="2">
                  <c:v>10863.111111111153</c:v>
                </c:pt>
                <c:pt idx="3">
                  <c:v>10076.487804878047</c:v>
                </c:pt>
                <c:pt idx="4">
                  <c:v>9932.3749999999418</c:v>
                </c:pt>
                <c:pt idx="5">
                  <c:v>9320</c:v>
                </c:pt>
                <c:pt idx="6">
                  <c:v>9086.333333333323</c:v>
                </c:pt>
                <c:pt idx="7">
                  <c:v>9043.9677419354848</c:v>
                </c:pt>
                <c:pt idx="8">
                  <c:v>8443.5</c:v>
                </c:pt>
                <c:pt idx="9">
                  <c:v>8246.333333333323</c:v>
                </c:pt>
                <c:pt idx="10">
                  <c:v>8114.04347826087</c:v>
                </c:pt>
                <c:pt idx="11">
                  <c:v>7881.6923076923094</c:v>
                </c:pt>
                <c:pt idx="12">
                  <c:v>6529.75</c:v>
                </c:pt>
                <c:pt idx="13">
                  <c:v>6479.9285714285734</c:v>
                </c:pt>
                <c:pt idx="14">
                  <c:v>5585.1904761904834</c:v>
                </c:pt>
              </c:numCache>
            </c:numRef>
          </c:val>
        </c:ser>
        <c:dLbls>
          <c:showVal val="1"/>
        </c:dLbls>
        <c:gapWidth val="80"/>
        <c:gapDepth val="100"/>
        <c:shape val="cylinder"/>
        <c:axId val="88050688"/>
        <c:axId val="88060672"/>
        <c:axId val="0"/>
      </c:bar3DChart>
      <c:catAx>
        <c:axId val="88050688"/>
        <c:scaling>
          <c:orientation val="minMax"/>
        </c:scaling>
        <c:axPos val="l"/>
        <c:majorTickMark val="none"/>
        <c:tickLblPos val="nextTo"/>
        <c:txPr>
          <a:bodyPr/>
          <a:lstStyle/>
          <a:p>
            <a:pPr>
              <a:defRPr sz="800"/>
            </a:pPr>
            <a:endParaRPr lang="es-MX"/>
          </a:p>
        </c:txPr>
        <c:crossAx val="88060672"/>
        <c:crosses val="autoZero"/>
        <c:auto val="1"/>
        <c:lblAlgn val="ctr"/>
        <c:lblOffset val="100"/>
      </c:catAx>
      <c:valAx>
        <c:axId val="88060672"/>
        <c:scaling>
          <c:orientation val="minMax"/>
        </c:scaling>
        <c:delete val="1"/>
        <c:axPos val="b"/>
        <c:numFmt formatCode="General" sourceLinked="1"/>
        <c:tickLblPos val="none"/>
        <c:crossAx val="88050688"/>
        <c:crosses val="autoZero"/>
        <c:crossBetween val="between"/>
      </c:valAx>
    </c:plotArea>
    <c:plotVisOnly val="1"/>
  </c:chart>
  <c:spPr>
    <a:ln>
      <a:solidFill>
        <a:sysClr val="windowText" lastClr="000000"/>
      </a:solidFill>
    </a:ln>
    <a:effectLst>
      <a:outerShdw blurRad="50800" dist="38100" dir="2700000" algn="tl" rotWithShape="0">
        <a:prstClr val="black">
          <a:alpha val="40000"/>
        </a:prstClr>
      </a:outerShdw>
    </a:effectLst>
  </c:spPr>
  <c:externalData r:id="rId1"/>
  <c:userShapes r:id="rId2"/>
</c:chartSpace>
</file>

<file path=word/charts/chart6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COATZACOALCOS.</a:t>
            </a:r>
            <a:r>
              <a:rPr lang="es-MX" sz="1400" baseline="0"/>
              <a:t> SUCURSALES BANCARIAS. 2007</a:t>
            </a:r>
            <a:endParaRPr lang="es-MX" sz="14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5.1851851851851864E-2"/>
          <c:y val="0.23229582004797039"/>
          <c:w val="0.90123456790122203"/>
          <c:h val="0.6054270485285973"/>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'Instituciones bancarias'!$F$1:$M$1</c:f>
              <c:strCache>
                <c:ptCount val="8"/>
                <c:pt idx="0">
                  <c:v>BANAMEX</c:v>
                </c:pt>
                <c:pt idx="1">
                  <c:v>BBVA-
BANCOMER</c:v>
                </c:pt>
                <c:pt idx="2">
                  <c:v>BANCO
AZTECA</c:v>
                </c:pt>
                <c:pt idx="3">
                  <c:v>SANTANDER-
SERFIN</c:v>
                </c:pt>
                <c:pt idx="4">
                  <c:v>HSBC
(BITAL)</c:v>
                </c:pt>
                <c:pt idx="5">
                  <c:v>SCOTIABANK
INVERLAT</c:v>
                </c:pt>
                <c:pt idx="6">
                  <c:v>BANORTE</c:v>
                </c:pt>
                <c:pt idx="7">
                  <c:v>INBURSA</c:v>
                </c:pt>
              </c:strCache>
            </c:strRef>
          </c:cat>
          <c:val>
            <c:numRef>
              <c:f>'Instituciones bancarias'!$F$2:$M$2</c:f>
              <c:numCache>
                <c:formatCode>General</c:formatCode>
                <c:ptCount val="8"/>
                <c:pt idx="0">
                  <c:v>6</c:v>
                </c:pt>
                <c:pt idx="1">
                  <c:v>7</c:v>
                </c:pt>
                <c:pt idx="2">
                  <c:v>6</c:v>
                </c:pt>
                <c:pt idx="3">
                  <c:v>5</c:v>
                </c:pt>
                <c:pt idx="4">
                  <c:v>3</c:v>
                </c:pt>
                <c:pt idx="5">
                  <c:v>2</c:v>
                </c:pt>
                <c:pt idx="6">
                  <c:v>2</c:v>
                </c:pt>
                <c:pt idx="7">
                  <c:v>0</c:v>
                </c:pt>
              </c:numCache>
            </c:numRef>
          </c:val>
        </c:ser>
        <c:dLbls>
          <c:showVal val="1"/>
        </c:dLbls>
        <c:shape val="box"/>
        <c:axId val="88094208"/>
        <c:axId val="88095744"/>
        <c:axId val="0"/>
      </c:bar3DChart>
      <c:catAx>
        <c:axId val="88094208"/>
        <c:scaling>
          <c:orientation val="minMax"/>
        </c:scaling>
        <c:axPos val="b"/>
        <c:majorTickMark val="none"/>
        <c:tickLblPos val="nextTo"/>
        <c:txPr>
          <a:bodyPr/>
          <a:lstStyle/>
          <a:p>
            <a:pPr>
              <a:defRPr sz="500"/>
            </a:pPr>
            <a:endParaRPr lang="es-MX"/>
          </a:p>
        </c:txPr>
        <c:crossAx val="88095744"/>
        <c:crosses val="autoZero"/>
        <c:auto val="1"/>
        <c:lblAlgn val="ctr"/>
        <c:lblOffset val="100"/>
      </c:catAx>
      <c:valAx>
        <c:axId val="88095744"/>
        <c:scaling>
          <c:orientation val="minMax"/>
        </c:scaling>
        <c:delete val="1"/>
        <c:axPos val="l"/>
        <c:numFmt formatCode="General" sourceLinked="1"/>
        <c:tickLblPos val="none"/>
        <c:crossAx val="88094208"/>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s-MX" sz="1000"/>
              <a:t>VERACRUZ. CAPTACIÓN TRADICIONAL EN MONEDA</a:t>
            </a:r>
            <a:r>
              <a:rPr lang="es-MX" sz="1000" baseline="0"/>
              <a:t> NACIONAL POR PRINCIPALES MUNICIPIOS. 2007 (Miles de pesos)</a:t>
            </a:r>
            <a:endParaRPr lang="es-MX" sz="1000"/>
          </a:p>
        </c:rich>
      </c:tx>
      <c:spPr>
        <a:ln>
          <a:solidFill>
            <a:schemeClr val="tx1"/>
          </a:solidFill>
        </a:ln>
        <a:effectLst>
          <a:outerShdw blurRad="50800" dist="38100" dir="2700000" algn="tl" rotWithShape="0">
            <a:prstClr val="black">
              <a:alpha val="40000"/>
            </a:prstClr>
          </a:outerShdw>
        </a:effectLst>
      </c:spPr>
    </c:title>
    <c:view3D>
      <c:rAngAx val="1"/>
    </c:view3D>
    <c:floor>
      <c:spPr>
        <a:noFill/>
        <a:ln w="9525">
          <a:noFill/>
        </a:ln>
      </c:spPr>
    </c:floor>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B/>
            </a:sp3d>
          </c:spPr>
          <c:dPt>
            <c:idx val="7"/>
            <c:spPr>
              <a:solidFill>
                <a:srgbClr val="FF0000"/>
              </a:solidFill>
              <a:effectLst>
                <a:outerShdw blurRad="50800" dist="38100" dir="2700000" algn="tl" rotWithShape="0">
                  <a:prstClr val="black">
                    <a:alpha val="40000"/>
                  </a:prstClr>
                </a:outerShdw>
              </a:effectLst>
              <a:scene3d>
                <a:camera prst="orthographicFront"/>
                <a:lightRig rig="threePt" dir="t"/>
              </a:scene3d>
              <a:sp3d>
                <a:bevelB/>
              </a:sp3d>
            </c:spPr>
          </c:dPt>
          <c:dLbls>
            <c:txPr>
              <a:bodyPr/>
              <a:lstStyle/>
              <a:p>
                <a:pPr>
                  <a:defRPr sz="800"/>
                </a:pPr>
                <a:endParaRPr lang="es-MX"/>
              </a:p>
            </c:txPr>
            <c:showVal val="1"/>
          </c:dLbls>
          <c:cat>
            <c:strRef>
              <c:f>'Sistema financiero'!$R$29:$R$38</c:f>
              <c:strCache>
                <c:ptCount val="10"/>
                <c:pt idx="0">
                  <c:v>Acayucan</c:v>
                </c:pt>
                <c:pt idx="1">
                  <c:v>Martínez de la Torre</c:v>
                </c:pt>
                <c:pt idx="2">
                  <c:v>Tuxpan</c:v>
                </c:pt>
                <c:pt idx="3">
                  <c:v>Minatitlán</c:v>
                </c:pt>
                <c:pt idx="4">
                  <c:v>Orizaba</c:v>
                </c:pt>
                <c:pt idx="5">
                  <c:v>Córdoba</c:v>
                </c:pt>
                <c:pt idx="6">
                  <c:v>Poza Rica de Hidalgo</c:v>
                </c:pt>
                <c:pt idx="7">
                  <c:v>Coatzacoalcos</c:v>
                </c:pt>
                <c:pt idx="8">
                  <c:v>Veracruz</c:v>
                </c:pt>
                <c:pt idx="9">
                  <c:v>Xalapa</c:v>
                </c:pt>
              </c:strCache>
            </c:strRef>
          </c:cat>
          <c:val>
            <c:numRef>
              <c:f>'Sistema financiero'!$S$29:$S$38</c:f>
              <c:numCache>
                <c:formatCode>#,##0</c:formatCode>
                <c:ptCount val="10"/>
                <c:pt idx="0">
                  <c:v>866880</c:v>
                </c:pt>
                <c:pt idx="1">
                  <c:v>934675</c:v>
                </c:pt>
                <c:pt idx="2">
                  <c:v>1138867</c:v>
                </c:pt>
                <c:pt idx="3">
                  <c:v>1616693</c:v>
                </c:pt>
                <c:pt idx="4">
                  <c:v>2366589</c:v>
                </c:pt>
                <c:pt idx="5">
                  <c:v>3121588</c:v>
                </c:pt>
                <c:pt idx="6">
                  <c:v>3132232</c:v>
                </c:pt>
                <c:pt idx="7">
                  <c:v>3344955</c:v>
                </c:pt>
                <c:pt idx="8">
                  <c:v>10011960</c:v>
                </c:pt>
                <c:pt idx="9">
                  <c:v>10791868</c:v>
                </c:pt>
              </c:numCache>
            </c:numRef>
          </c:val>
        </c:ser>
        <c:dLbls>
          <c:showVal val="1"/>
        </c:dLbls>
        <c:gapWidth val="80"/>
        <c:gapDepth val="100"/>
        <c:shape val="cylinder"/>
        <c:axId val="88254336"/>
        <c:axId val="88255872"/>
        <c:axId val="0"/>
      </c:bar3DChart>
      <c:catAx>
        <c:axId val="88254336"/>
        <c:scaling>
          <c:orientation val="minMax"/>
        </c:scaling>
        <c:axPos val="l"/>
        <c:tickLblPos val="nextTo"/>
        <c:txPr>
          <a:bodyPr/>
          <a:lstStyle/>
          <a:p>
            <a:pPr>
              <a:defRPr sz="800"/>
            </a:pPr>
            <a:endParaRPr lang="es-MX"/>
          </a:p>
        </c:txPr>
        <c:crossAx val="88255872"/>
        <c:crosses val="autoZero"/>
        <c:auto val="1"/>
        <c:lblAlgn val="ctr"/>
        <c:lblOffset val="100"/>
      </c:catAx>
      <c:valAx>
        <c:axId val="88255872"/>
        <c:scaling>
          <c:orientation val="minMax"/>
        </c:scaling>
        <c:delete val="1"/>
        <c:axPos val="b"/>
        <c:title>
          <c:tx>
            <c:rich>
              <a:bodyPr/>
              <a:lstStyle/>
              <a:p>
                <a:pPr algn="r">
                  <a:defRPr sz="700">
                    <a:latin typeface="Arial" pitchFamily="34" charset="0"/>
                    <a:cs typeface="Arial" pitchFamily="34" charset="0"/>
                  </a:defRPr>
                </a:pPr>
                <a:r>
                  <a:rPr lang="es-MX" sz="700" b="0" i="0" baseline="0">
                    <a:latin typeface="Arial" pitchFamily="34" charset="0"/>
                    <a:cs typeface="Arial" pitchFamily="34" charset="0"/>
                  </a:rPr>
                  <a:t>Fuente: Elaborado con datos del Anurio Estadístico del estado de Veracruz 2008, INEGI</a:t>
                </a:r>
                <a:endParaRPr lang="es-MX" sz="700" b="1" i="0" baseline="0">
                  <a:latin typeface="Arial" pitchFamily="34" charset="0"/>
                  <a:cs typeface="Arial" pitchFamily="34" charset="0"/>
                </a:endParaRPr>
              </a:p>
            </c:rich>
          </c:tx>
          <c:layout>
            <c:manualLayout>
              <c:xMode val="edge"/>
              <c:yMode val="edge"/>
              <c:x val="0.26368963788215044"/>
              <c:y val="0.94530896027377165"/>
            </c:manualLayout>
          </c:layout>
        </c:title>
        <c:numFmt formatCode="#,##0" sourceLinked="1"/>
        <c:tickLblPos val="none"/>
        <c:crossAx val="88254336"/>
        <c:crosses val="autoZero"/>
        <c:crossBetween val="between"/>
      </c:valAx>
    </c:plotArea>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7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200" b="0">
                <a:latin typeface="Arial" pitchFamily="34" charset="0"/>
                <a:cs typeface="Arial" pitchFamily="34" charset="0"/>
              </a:rPr>
              <a:t>ESTADO. INDICE DE CAPTACION TRADICIONAL EN MONEDA</a:t>
            </a:r>
            <a:r>
              <a:rPr lang="es-MX" sz="1200" b="0" baseline="0">
                <a:latin typeface="Arial" pitchFamily="34" charset="0"/>
                <a:cs typeface="Arial" pitchFamily="34" charset="0"/>
              </a:rPr>
              <a:t> NACIONAL POR MUNICIPIO. 2007</a:t>
            </a:r>
            <a:endParaRPr lang="es-MX" sz="1200" b="0">
              <a:latin typeface="Arial" pitchFamily="34" charset="0"/>
              <a:cs typeface="Arial" pitchFamily="34" charset="0"/>
            </a:endParaRPr>
          </a:p>
        </c:rich>
      </c:tx>
      <c:overlay val="1"/>
      <c:spPr>
        <a:ln>
          <a:solidFill>
            <a:sysClr val="windowText" lastClr="000000"/>
          </a:solidFill>
        </a:ln>
        <a:effectLst>
          <a:outerShdw blurRad="50800" dist="38100" dir="2700000" algn="tl" rotWithShape="0">
            <a:prstClr val="black">
              <a:alpha val="40000"/>
            </a:prstClr>
          </a:outerShdw>
        </a:effectLst>
      </c:spPr>
    </c:title>
    <c:view3D>
      <c:rAngAx val="1"/>
    </c:view3D>
    <c:floor>
      <c:spPr>
        <a:noFill/>
        <a:ln w="9525">
          <a:noFill/>
        </a:ln>
      </c:spPr>
    </c:floor>
    <c:plotArea>
      <c:layout>
        <c:manualLayout>
          <c:layoutTarget val="inner"/>
          <c:xMode val="edge"/>
          <c:yMode val="edge"/>
          <c:x val="0.28904396325459603"/>
          <c:y val="0.1517556669052732"/>
          <c:w val="0.6804004811898513"/>
          <c:h val="0.79731833520809903"/>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5"/>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cat>
            <c:strRef>
              <c:f>Hoja2!$I$13:$I$24</c:f>
              <c:strCache>
                <c:ptCount val="12"/>
                <c:pt idx="0">
                  <c:v>Tuxpan</c:v>
                </c:pt>
                <c:pt idx="1">
                  <c:v>Martínez de la Torre</c:v>
                </c:pt>
                <c:pt idx="2">
                  <c:v>Huatusco</c:v>
                </c:pt>
                <c:pt idx="3">
                  <c:v>Minatitlán</c:v>
                </c:pt>
                <c:pt idx="4">
                  <c:v>Acayucan</c:v>
                </c:pt>
                <c:pt idx="5">
                  <c:v>Coatzacoalcos</c:v>
                </c:pt>
                <c:pt idx="6">
                  <c:v>Córdoba</c:v>
                </c:pt>
                <c:pt idx="7">
                  <c:v>Poza Rica de Hidalgo</c:v>
                </c:pt>
                <c:pt idx="8">
                  <c:v>La Antigua</c:v>
                </c:pt>
                <c:pt idx="9">
                  <c:v>Veracruz</c:v>
                </c:pt>
                <c:pt idx="10">
                  <c:v>Orizaba</c:v>
                </c:pt>
                <c:pt idx="11">
                  <c:v>Xalapa</c:v>
                </c:pt>
              </c:strCache>
            </c:strRef>
          </c:cat>
          <c:val>
            <c:numRef>
              <c:f>Hoja2!$J$13:$J$24</c:f>
              <c:numCache>
                <c:formatCode>0.00</c:formatCode>
                <c:ptCount val="12"/>
                <c:pt idx="0">
                  <c:v>8.3112962971123068</c:v>
                </c:pt>
                <c:pt idx="1">
                  <c:v>9.3764735294618706</c:v>
                </c:pt>
                <c:pt idx="2">
                  <c:v>10.231532235627451</c:v>
                </c:pt>
                <c:pt idx="3">
                  <c:v>10.432975353678868</c:v>
                </c:pt>
                <c:pt idx="4">
                  <c:v>10.700190867296969</c:v>
                </c:pt>
                <c:pt idx="5">
                  <c:v>11.701599165670798</c:v>
                </c:pt>
                <c:pt idx="6">
                  <c:v>16.405370855258433</c:v>
                </c:pt>
                <c:pt idx="7">
                  <c:v>16.931728989725187</c:v>
                </c:pt>
                <c:pt idx="8">
                  <c:v>18.494913499017695</c:v>
                </c:pt>
                <c:pt idx="9">
                  <c:v>19.167342753461089</c:v>
                </c:pt>
                <c:pt idx="10">
                  <c:v>19.789790395758889</c:v>
                </c:pt>
                <c:pt idx="11">
                  <c:v>25.620005619044935</c:v>
                </c:pt>
              </c:numCache>
            </c:numRef>
          </c:val>
        </c:ser>
        <c:dLbls>
          <c:showVal val="1"/>
        </c:dLbls>
        <c:shape val="box"/>
        <c:axId val="88157184"/>
        <c:axId val="88171264"/>
        <c:axId val="0"/>
      </c:bar3DChart>
      <c:catAx>
        <c:axId val="88157184"/>
        <c:scaling>
          <c:orientation val="minMax"/>
        </c:scaling>
        <c:axPos val="l"/>
        <c:tickLblPos val="nextTo"/>
        <c:crossAx val="88171264"/>
        <c:crosses val="autoZero"/>
        <c:auto val="1"/>
        <c:lblAlgn val="ctr"/>
        <c:lblOffset val="100"/>
      </c:catAx>
      <c:valAx>
        <c:axId val="88171264"/>
        <c:scaling>
          <c:orientation val="minMax"/>
        </c:scaling>
        <c:delete val="1"/>
        <c:axPos val="b"/>
        <c:numFmt formatCode="0.00" sourceLinked="1"/>
        <c:tickLblPos val="none"/>
        <c:crossAx val="88157184"/>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s-MX" sz="1000"/>
              <a:t>COATZACOALCOS.</a:t>
            </a:r>
            <a:r>
              <a:rPr lang="es-MX" sz="1000" baseline="0"/>
              <a:t>  CAPTACIÓN DE RECURSOS DE LA BANCA COMERCIAL. 2007. (Porcentajes)</a:t>
            </a:r>
            <a:endParaRPr lang="es-MX" sz="1000"/>
          </a:p>
        </c:rich>
      </c:tx>
      <c:spPr>
        <a:ln>
          <a:solidFill>
            <a:sysClr val="windowText" lastClr="000000"/>
          </a:solidFill>
        </a:ln>
        <a:effectLst>
          <a:outerShdw blurRad="50800" dist="38100" dir="2700000" algn="tl" rotWithShape="0">
            <a:prstClr val="black">
              <a:alpha val="40000"/>
            </a:prstClr>
          </a:outerShdw>
        </a:effectLst>
      </c:spPr>
    </c:title>
    <c:view3D>
      <c:rotX val="30"/>
      <c:perspective val="30"/>
    </c:view3D>
    <c:plotArea>
      <c:layout>
        <c:manualLayout>
          <c:layoutTarget val="inner"/>
          <c:xMode val="edge"/>
          <c:yMode val="edge"/>
          <c:x val="9.2688573800539492E-2"/>
          <c:y val="0.26614968982243481"/>
          <c:w val="0.81965429993647365"/>
          <c:h val="0.68974812539663699"/>
        </c:manualLayout>
      </c:layout>
      <c:pie3DChart>
        <c:varyColors val="1"/>
        <c:ser>
          <c:idx val="0"/>
          <c:order val="0"/>
          <c:spPr>
            <a:effectLst>
              <a:outerShdw blurRad="50800" dist="38100" dir="2700000" algn="tl" rotWithShape="0">
                <a:prstClr val="black">
                  <a:alpha val="40000"/>
                </a:prstClr>
              </a:outerShdw>
            </a:effectLst>
            <a:scene3d>
              <a:camera prst="orthographicFront"/>
              <a:lightRig rig="threePt" dir="t"/>
            </a:scene3d>
            <a:sp3d>
              <a:bevelT/>
            </a:sp3d>
          </c:spPr>
          <c:explosion val="25"/>
          <c:dPt>
            <c:idx val="0"/>
            <c:spPr>
              <a:solidFill>
                <a:srgbClr val="0070C0"/>
              </a:solidFill>
              <a:effectLst>
                <a:outerShdw blurRad="50800" dist="38100" dir="2700000" algn="tl" rotWithShape="0">
                  <a:prstClr val="black">
                    <a:alpha val="40000"/>
                  </a:prstClr>
                </a:outerShdw>
              </a:effectLst>
              <a:scene3d>
                <a:camera prst="orthographicFront"/>
                <a:lightRig rig="threePt" dir="t"/>
              </a:scene3d>
              <a:sp3d>
                <a:bevelT/>
              </a:sp3d>
            </c:spPr>
          </c:dPt>
          <c:dPt>
            <c:idx val="1"/>
            <c:spPr>
              <a:solidFill>
                <a:srgbClr val="CC3399"/>
              </a:solidFill>
              <a:effectLst>
                <a:outerShdw blurRad="50800" dist="38100" dir="2700000" algn="tl" rotWithShape="0">
                  <a:prstClr val="black">
                    <a:alpha val="40000"/>
                  </a:prstClr>
                </a:outerShdw>
              </a:effectLst>
              <a:scene3d>
                <a:camera prst="orthographicFront"/>
                <a:lightRig rig="threePt" dir="t"/>
              </a:scene3d>
              <a:sp3d>
                <a:bevelT/>
              </a:sp3d>
            </c:spPr>
          </c:dPt>
          <c:dPt>
            <c:idx val="2"/>
            <c:spPr>
              <a:solidFill>
                <a:srgbClr val="00FF00"/>
              </a:solidFill>
              <a:effectLst>
                <a:outerShdw blurRad="50800" dist="38100" dir="2700000" algn="tl" rotWithShape="0">
                  <a:prstClr val="black">
                    <a:alpha val="40000"/>
                  </a:prstClr>
                </a:outerShdw>
              </a:effectLst>
              <a:scene3d>
                <a:camera prst="orthographicFront"/>
                <a:lightRig rig="threePt" dir="t"/>
              </a:scene3d>
              <a:sp3d>
                <a:bevelT/>
              </a:sp3d>
            </c:spPr>
          </c:dPt>
          <c:dPt>
            <c:idx val="4"/>
            <c:spPr>
              <a:solidFill>
                <a:srgbClr val="FFFF00"/>
              </a:solidFill>
              <a:effectLst>
                <a:outerShdw blurRad="50800" dist="38100" dir="2700000" algn="tl" rotWithShape="0">
                  <a:prstClr val="black">
                    <a:alpha val="40000"/>
                  </a:prstClr>
                </a:outerShdw>
              </a:effectLst>
              <a:scene3d>
                <a:camera prst="orthographicFront"/>
                <a:lightRig rig="threePt" dir="t"/>
              </a:scene3d>
              <a:sp3d>
                <a:bevelT/>
              </a:sp3d>
            </c:spPr>
          </c:dPt>
          <c:dLbls>
            <c:dLbl>
              <c:idx val="0"/>
              <c:layout>
                <c:manualLayout>
                  <c:x val="-0.2167986365173398"/>
                  <c:y val="-8.7546688919618643E-2"/>
                </c:manualLayout>
              </c:layout>
              <c:showCatName val="1"/>
              <c:showPercent val="1"/>
            </c:dLbl>
            <c:dLbl>
              <c:idx val="1"/>
              <c:layout>
                <c:manualLayout>
                  <c:x val="0.17147183112401942"/>
                  <c:y val="-0.1785093312355884"/>
                </c:manualLayout>
              </c:layout>
              <c:showCatName val="1"/>
              <c:showPercent val="1"/>
            </c:dLbl>
            <c:dLbl>
              <c:idx val="2"/>
              <c:tx>
                <c:rich>
                  <a:bodyPr/>
                  <a:lstStyle/>
                  <a:p>
                    <a:r>
                      <a:rPr lang="en-US" sz="800" b="1"/>
                      <a:t>Depósitos
de ahorro
0.1%</a:t>
                    </a:r>
                  </a:p>
                </c:rich>
              </c:tx>
              <c:showCatName val="1"/>
              <c:showPercent val="1"/>
            </c:dLbl>
            <c:dLbl>
              <c:idx val="3"/>
              <c:layout>
                <c:manualLayout>
                  <c:x val="0.16399854682287132"/>
                  <c:y val="5.7883014272809084E-2"/>
                </c:manualLayout>
              </c:layout>
              <c:showCatName val="1"/>
              <c:showPercent val="1"/>
            </c:dLbl>
            <c:dLbl>
              <c:idx val="4"/>
              <c:layout>
                <c:manualLayout>
                  <c:x val="0.18841939056493237"/>
                  <c:y val="4.2074763199380007E-2"/>
                </c:manualLayout>
              </c:layout>
              <c:tx>
                <c:rich>
                  <a:bodyPr/>
                  <a:lstStyle/>
                  <a:p>
                    <a:r>
                      <a:rPr lang="en-US"/>
                      <a:t>Captación tradicional 
en moneda</a:t>
                    </a:r>
                    <a:r>
                      <a:rPr lang="en-US" baseline="0"/>
                      <a:t> </a:t>
                    </a:r>
                    <a:r>
                      <a:rPr lang="en-US"/>
                      <a:t>extranjera
2%</a:t>
                    </a:r>
                  </a:p>
                </c:rich>
              </c:tx>
              <c:showCatName val="1"/>
              <c:showPercent val="1"/>
            </c:dLbl>
            <c:txPr>
              <a:bodyPr/>
              <a:lstStyle/>
              <a:p>
                <a:pPr>
                  <a:defRPr sz="800" b="1"/>
                </a:pPr>
                <a:endParaRPr lang="es-MX"/>
              </a:p>
            </c:txPr>
            <c:showCatName val="1"/>
            <c:showPercent val="1"/>
            <c:showLeaderLines val="1"/>
          </c:dLbls>
          <c:cat>
            <c:strRef>
              <c:f>('Sistema financiero'!$T$7,'Sistema financiero'!$V$7,'Sistema financiero'!$W$7,'Sistema financiero'!$X$7,'Sistema financiero'!$Z$6)</c:f>
              <c:strCache>
                <c:ptCount val="5"/>
                <c:pt idx="0">
                  <c:v>Cuentas de
cheques</c:v>
                </c:pt>
                <c:pt idx="1">
                  <c:v>Depósitos
de nómina</c:v>
                </c:pt>
                <c:pt idx="2">
                  <c:v>Depósitos
de ahorro</c:v>
                </c:pt>
                <c:pt idx="3">
                  <c:v>Depósitos 
a plazo</c:v>
                </c:pt>
                <c:pt idx="4">
                  <c:v>Captación 
tradicional 
en moneda 
extranjera</c:v>
                </c:pt>
              </c:strCache>
            </c:strRef>
          </c:cat>
          <c:val>
            <c:numRef>
              <c:f>('Sistema financiero'!$T$9,'Sistema financiero'!$V$9,'Sistema financiero'!$W$9,'Sistema financiero'!$X$9,'Sistema financiero'!$Z$9)</c:f>
              <c:numCache>
                <c:formatCode>#,##0</c:formatCode>
                <c:ptCount val="5"/>
                <c:pt idx="0">
                  <c:v>1860722</c:v>
                </c:pt>
                <c:pt idx="1">
                  <c:v>636426</c:v>
                </c:pt>
                <c:pt idx="2">
                  <c:v>3158</c:v>
                </c:pt>
                <c:pt idx="3">
                  <c:v>844649</c:v>
                </c:pt>
                <c:pt idx="4">
                  <c:v>66610</c:v>
                </c:pt>
              </c:numCache>
            </c:numRef>
          </c:val>
        </c:ser>
        <c:dLbls>
          <c:showCatName val="1"/>
          <c:showPercent val="1"/>
        </c:dLbls>
      </c:pie3DChart>
    </c:plotArea>
    <c:plotVisOnly val="1"/>
  </c:chart>
  <c:spPr>
    <a:ln>
      <a:solidFill>
        <a:sysClr val="windowText" lastClr="000000"/>
      </a:solidFill>
    </a:ln>
    <a:effectLst>
      <a:outerShdw blurRad="50800" dist="38100" dir="2700000" algn="tl" rotWithShape="0">
        <a:prstClr val="black">
          <a:alpha val="40000"/>
        </a:prstClr>
      </a:outerShdw>
    </a:effectLst>
  </c:spPr>
  <c:externalData r:id="rId1"/>
  <c:userShapes r:id="rId2"/>
</c:chartSpace>
</file>

<file path=word/charts/chart7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a:pPr>
            <a:r>
              <a:rPr lang="es-MX" sz="1000" b="0"/>
              <a:t>COATZACOALCOS.</a:t>
            </a:r>
            <a:r>
              <a:rPr lang="es-MX" sz="1000" b="0" baseline="0"/>
              <a:t> VALOR DE LAS REMESAS  POR MUNICIPIOS</a:t>
            </a:r>
          </a:p>
          <a:p>
            <a:pPr>
              <a:defRPr/>
            </a:pPr>
            <a:r>
              <a:rPr lang="es-MX" sz="1000" b="0" baseline="0"/>
              <a:t>(PESOS CORRIENTES)</a:t>
            </a:r>
          </a:p>
          <a:p>
            <a:pPr>
              <a:defRPr/>
            </a:pPr>
            <a:r>
              <a:rPr lang="es-MX" sz="1000" b="0" baseline="0"/>
              <a:t>2007</a:t>
            </a:r>
            <a:endParaRPr lang="es-MX" sz="10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sideWall>
      <c:spPr>
        <a:effectLst>
          <a:outerShdw blurRad="50800" dist="38100" dir="2700000" algn="tl" rotWithShape="0">
            <a:prstClr val="black">
              <a:alpha val="40000"/>
            </a:prstClr>
          </a:outerShdw>
        </a:effectLst>
      </c:spPr>
    </c:sideWall>
    <c:backWall>
      <c:spPr>
        <a:effectLst>
          <a:outerShdw blurRad="50800" dist="38100" dir="2700000" algn="tl" rotWithShape="0">
            <a:prstClr val="black">
              <a:alpha val="40000"/>
            </a:prstClr>
          </a:outerShdw>
        </a:effectLst>
      </c:spPr>
    </c:backWall>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9"/>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numFmt formatCode="#,##0" sourceLinked="0"/>
            <c:spPr>
              <a:effectLst>
                <a:outerShdw blurRad="50800" dist="50800" dir="5400000" sx="3000" sy="3000" algn="ctr" rotWithShape="0">
                  <a:srgbClr val="000000">
                    <a:alpha val="43137"/>
                  </a:srgbClr>
                </a:outerShdw>
              </a:effectLst>
            </c:spPr>
            <c:txPr>
              <a:bodyPr/>
              <a:lstStyle/>
              <a:p>
                <a:pPr>
                  <a:defRPr sz="800"/>
                </a:pPr>
                <a:endParaRPr lang="es-MX"/>
              </a:p>
            </c:txPr>
            <c:showVal val="1"/>
          </c:dLbls>
          <c:cat>
            <c:strRef>
              <c:f>'Remesas-Migración'!$B$10:$B$29</c:f>
              <c:strCache>
                <c:ptCount val="20"/>
                <c:pt idx="0">
                  <c:v>Orizaba</c:v>
                </c:pt>
                <c:pt idx="1">
                  <c:v>Playa Vicente</c:v>
                </c:pt>
                <c:pt idx="2">
                  <c:v>Tihuatlán</c:v>
                </c:pt>
                <c:pt idx="3">
                  <c:v>Isla</c:v>
                </c:pt>
                <c:pt idx="4">
                  <c:v>Cuitláhuac</c:v>
                </c:pt>
                <c:pt idx="5">
                  <c:v>Minatitlán</c:v>
                </c:pt>
                <c:pt idx="6">
                  <c:v>Misantla</c:v>
                </c:pt>
                <c:pt idx="7">
                  <c:v>Yanga</c:v>
                </c:pt>
                <c:pt idx="8">
                  <c:v>Papantla</c:v>
                </c:pt>
                <c:pt idx="9">
                  <c:v>Coatzacoalcos</c:v>
                </c:pt>
                <c:pt idx="10">
                  <c:v>Martínez De La Torre</c:v>
                </c:pt>
                <c:pt idx="11">
                  <c:v>Tres Valles</c:v>
                </c:pt>
                <c:pt idx="12">
                  <c:v>Córdoba</c:v>
                </c:pt>
                <c:pt idx="13">
                  <c:v>Pánuco</c:v>
                </c:pt>
                <c:pt idx="14">
                  <c:v>Choapas, Las</c:v>
                </c:pt>
                <c:pt idx="15">
                  <c:v>Actopan</c:v>
                </c:pt>
                <c:pt idx="16">
                  <c:v>Puente Nacional</c:v>
                </c:pt>
                <c:pt idx="17">
                  <c:v>Tierra Blanca</c:v>
                </c:pt>
                <c:pt idx="18">
                  <c:v>Xalapa</c:v>
                </c:pt>
                <c:pt idx="19">
                  <c:v>Veracruz</c:v>
                </c:pt>
              </c:strCache>
            </c:strRef>
          </c:cat>
          <c:val>
            <c:numRef>
              <c:f>'Remesas-Migración'!$F$10:$F$29</c:f>
              <c:numCache>
                <c:formatCode>General</c:formatCode>
                <c:ptCount val="20"/>
                <c:pt idx="0">
                  <c:v>21387329.676163509</c:v>
                </c:pt>
                <c:pt idx="1">
                  <c:v>23604308.971862976</c:v>
                </c:pt>
                <c:pt idx="2">
                  <c:v>24582388.072907448</c:v>
                </c:pt>
                <c:pt idx="3">
                  <c:v>25071427.623429477</c:v>
                </c:pt>
                <c:pt idx="4">
                  <c:v>25690877.720757388</c:v>
                </c:pt>
                <c:pt idx="5">
                  <c:v>27092791.098920539</c:v>
                </c:pt>
                <c:pt idx="6">
                  <c:v>27712241.196248446</c:v>
                </c:pt>
                <c:pt idx="7">
                  <c:v>29016346.664307225</c:v>
                </c:pt>
                <c:pt idx="8">
                  <c:v>29048949.301008672</c:v>
                </c:pt>
                <c:pt idx="9">
                  <c:v>29309770.394620419</c:v>
                </c:pt>
                <c:pt idx="10">
                  <c:v>30646478.499380644</c:v>
                </c:pt>
                <c:pt idx="11">
                  <c:v>31950583.967439376</c:v>
                </c:pt>
                <c:pt idx="12">
                  <c:v>35406463.457795084</c:v>
                </c:pt>
                <c:pt idx="13">
                  <c:v>35439066.094496548</c:v>
                </c:pt>
                <c:pt idx="14">
                  <c:v>38047277.030614048</c:v>
                </c:pt>
                <c:pt idx="15">
                  <c:v>43817943.726774022</c:v>
                </c:pt>
                <c:pt idx="16">
                  <c:v>44078764.820385754</c:v>
                </c:pt>
                <c:pt idx="17">
                  <c:v>81767412.847283676</c:v>
                </c:pt>
                <c:pt idx="18">
                  <c:v>81800015.48398675</c:v>
                </c:pt>
                <c:pt idx="19">
                  <c:v>83658365.775968865</c:v>
                </c:pt>
              </c:numCache>
            </c:numRef>
          </c:val>
        </c:ser>
        <c:dLbls>
          <c:showVal val="1"/>
        </c:dLbls>
        <c:gapWidth val="90"/>
        <c:shape val="box"/>
        <c:axId val="88512384"/>
        <c:axId val="88513920"/>
        <c:axId val="0"/>
      </c:bar3DChart>
      <c:catAx>
        <c:axId val="88512384"/>
        <c:scaling>
          <c:orientation val="minMax"/>
        </c:scaling>
        <c:axPos val="l"/>
        <c:majorTickMark val="none"/>
        <c:tickLblPos val="nextTo"/>
        <c:txPr>
          <a:bodyPr/>
          <a:lstStyle/>
          <a:p>
            <a:pPr>
              <a:defRPr sz="800"/>
            </a:pPr>
            <a:endParaRPr lang="es-MX"/>
          </a:p>
        </c:txPr>
        <c:crossAx val="88513920"/>
        <c:crosses val="autoZero"/>
        <c:auto val="1"/>
        <c:lblAlgn val="ctr"/>
        <c:lblOffset val="100"/>
      </c:catAx>
      <c:valAx>
        <c:axId val="88513920"/>
        <c:scaling>
          <c:orientation val="minMax"/>
        </c:scaling>
        <c:delete val="1"/>
        <c:axPos val="b"/>
        <c:numFmt formatCode="General" sourceLinked="1"/>
        <c:tickLblPos val="none"/>
        <c:crossAx val="88512384"/>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b="0"/>
            </a:pPr>
            <a:r>
              <a:rPr lang="es-MX" sz="1400" b="0" baseline="0"/>
              <a:t>Establecimientos registrados por municipio. 2007</a:t>
            </a:r>
            <a:endParaRPr lang="es-MX" sz="14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sideWall>
      <c:spPr>
        <a:noFill/>
        <a:ln w="25400">
          <a:noFill/>
        </a:ln>
      </c:spPr>
    </c:sideWall>
    <c:backWall>
      <c:spPr>
        <a:noFill/>
        <a:ln w="25400">
          <a:noFill/>
        </a:ln>
      </c:spPr>
    </c:backWall>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Pt>
            <c:idx val="6"/>
            <c:spPr>
              <a:solidFill>
                <a:srgbClr val="FF0000"/>
              </a:solidFill>
              <a:effectLst>
                <a:outerShdw blurRad="50800" dist="38100" dir="2700000" algn="tl" rotWithShape="0">
                  <a:prstClr val="black">
                    <a:alpha val="40000"/>
                  </a:prstClr>
                </a:outerShdw>
              </a:effectLst>
              <a:scene3d>
                <a:camera prst="orthographicFront"/>
                <a:lightRig rig="threePt" dir="t"/>
              </a:scene3d>
              <a:sp3d>
                <a:bevelT/>
              </a:sp3d>
            </c:spPr>
          </c:dPt>
          <c:dLbls>
            <c:txPr>
              <a:bodyPr/>
              <a:lstStyle/>
              <a:p>
                <a:pPr>
                  <a:defRPr sz="800"/>
                </a:pPr>
                <a:endParaRPr lang="es-MX"/>
              </a:p>
            </c:txPr>
            <c:showVal val="1"/>
          </c:dLbls>
          <c:cat>
            <c:strRef>
              <c:f>Establecimientos!$A$4:$A$24</c:f>
              <c:strCache>
                <c:ptCount val="21"/>
                <c:pt idx="0">
                  <c:v>Veracruz</c:v>
                </c:pt>
                <c:pt idx="1">
                  <c:v>Tecolutla</c:v>
                </c:pt>
                <c:pt idx="2">
                  <c:v>Xalapa</c:v>
                </c:pt>
                <c:pt idx="3">
                  <c:v>Boca del Río</c:v>
                </c:pt>
                <c:pt idx="4">
                  <c:v>Córdoba</c:v>
                </c:pt>
                <c:pt idx="5">
                  <c:v>Poza Rica de Hidalgo</c:v>
                </c:pt>
                <c:pt idx="6">
                  <c:v>Coatzacoalcos</c:v>
                </c:pt>
                <c:pt idx="7">
                  <c:v>Orizaba</c:v>
                </c:pt>
                <c:pt idx="8">
                  <c:v>San Andrés Tuxtla</c:v>
                </c:pt>
                <c:pt idx="9">
                  <c:v>Tuxpan</c:v>
                </c:pt>
                <c:pt idx="10">
                  <c:v>Catemaco</c:v>
                </c:pt>
                <c:pt idx="11">
                  <c:v>Acayucan</c:v>
                </c:pt>
                <c:pt idx="12">
                  <c:v>Martínez de la Torre</c:v>
                </c:pt>
                <c:pt idx="13">
                  <c:v>Minatitlán</c:v>
                </c:pt>
                <c:pt idx="14">
                  <c:v>Alvarado</c:v>
                </c:pt>
                <c:pt idx="15">
                  <c:v>Cosamaloapan de Carpio</c:v>
                </c:pt>
                <c:pt idx="16">
                  <c:v>La Antigua</c:v>
                </c:pt>
                <c:pt idx="17">
                  <c:v>Ursulo Galván</c:v>
                </c:pt>
                <c:pt idx="18">
                  <c:v>Papantla</c:v>
                </c:pt>
                <c:pt idx="19">
                  <c:v>Tierra Blanca</c:v>
                </c:pt>
                <c:pt idx="20">
                  <c:v>Coatepec</c:v>
                </c:pt>
              </c:strCache>
            </c:strRef>
          </c:cat>
          <c:val>
            <c:numRef>
              <c:f>Establecimientos!$B$4:$B$24</c:f>
              <c:numCache>
                <c:formatCode>#,##0</c:formatCode>
                <c:ptCount val="21"/>
                <c:pt idx="0">
                  <c:v>137</c:v>
                </c:pt>
                <c:pt idx="1">
                  <c:v>124</c:v>
                </c:pt>
                <c:pt idx="2">
                  <c:v>96</c:v>
                </c:pt>
                <c:pt idx="3">
                  <c:v>59</c:v>
                </c:pt>
                <c:pt idx="4">
                  <c:v>52</c:v>
                </c:pt>
                <c:pt idx="5">
                  <c:v>49</c:v>
                </c:pt>
                <c:pt idx="6">
                  <c:v>42</c:v>
                </c:pt>
                <c:pt idx="7">
                  <c:v>42</c:v>
                </c:pt>
                <c:pt idx="8">
                  <c:v>39</c:v>
                </c:pt>
                <c:pt idx="9">
                  <c:v>34</c:v>
                </c:pt>
                <c:pt idx="10">
                  <c:v>30</c:v>
                </c:pt>
                <c:pt idx="11">
                  <c:v>26</c:v>
                </c:pt>
                <c:pt idx="12">
                  <c:v>26</c:v>
                </c:pt>
                <c:pt idx="13">
                  <c:v>26</c:v>
                </c:pt>
                <c:pt idx="14">
                  <c:v>20</c:v>
                </c:pt>
                <c:pt idx="15">
                  <c:v>20</c:v>
                </c:pt>
                <c:pt idx="16">
                  <c:v>18</c:v>
                </c:pt>
                <c:pt idx="17">
                  <c:v>18</c:v>
                </c:pt>
                <c:pt idx="18">
                  <c:v>15</c:v>
                </c:pt>
                <c:pt idx="19">
                  <c:v>15</c:v>
                </c:pt>
                <c:pt idx="20">
                  <c:v>14</c:v>
                </c:pt>
              </c:numCache>
            </c:numRef>
          </c:val>
        </c:ser>
        <c:dLbls>
          <c:showVal val="1"/>
        </c:dLbls>
        <c:gapWidth val="50"/>
        <c:gapDepth val="50"/>
        <c:shape val="box"/>
        <c:axId val="88543616"/>
        <c:axId val="88545152"/>
        <c:axId val="0"/>
      </c:bar3DChart>
      <c:catAx>
        <c:axId val="88543616"/>
        <c:scaling>
          <c:orientation val="minMax"/>
        </c:scaling>
        <c:axPos val="l"/>
        <c:majorTickMark val="none"/>
        <c:tickLblPos val="nextTo"/>
        <c:txPr>
          <a:bodyPr/>
          <a:lstStyle/>
          <a:p>
            <a:pPr>
              <a:defRPr sz="800"/>
            </a:pPr>
            <a:endParaRPr lang="es-MX"/>
          </a:p>
        </c:txPr>
        <c:crossAx val="88545152"/>
        <c:crosses val="autoZero"/>
        <c:auto val="1"/>
        <c:lblAlgn val="ctr"/>
        <c:lblOffset val="100"/>
      </c:catAx>
      <c:valAx>
        <c:axId val="88545152"/>
        <c:scaling>
          <c:orientation val="minMax"/>
        </c:scaling>
        <c:delete val="1"/>
        <c:axPos val="b"/>
        <c:numFmt formatCode="#,##0" sourceLinked="1"/>
        <c:tickLblPos val="none"/>
        <c:crossAx val="8854361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baseline="0"/>
              <a:t>Coatzacoalcos. Cuartos de hospedaje según su categoria. 2007</a:t>
            </a:r>
            <a:endParaRPr lang="es-MX" sz="12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2506482518921638"/>
          <c:y val="0.34386147133635248"/>
          <c:w val="0.76893979295749615"/>
          <c:h val="0.58159068251419743"/>
        </c:manualLayout>
      </c:layout>
      <c:pie3DChart>
        <c:varyColors val="1"/>
        <c:ser>
          <c:idx val="0"/>
          <c:order val="0"/>
          <c:explosion val="25"/>
          <c:dPt>
            <c:idx val="0"/>
            <c:spPr>
              <a:solidFill>
                <a:srgbClr val="FF0000"/>
              </a:solidFill>
            </c:spPr>
          </c:dPt>
          <c:dPt>
            <c:idx val="1"/>
            <c:spPr>
              <a:solidFill>
                <a:srgbClr val="FFFF00"/>
              </a:solidFill>
            </c:spPr>
          </c:dPt>
          <c:dPt>
            <c:idx val="2"/>
            <c:spPr>
              <a:solidFill>
                <a:srgbClr val="00B0F0"/>
              </a:solidFill>
            </c:spPr>
          </c:dPt>
          <c:dPt>
            <c:idx val="3"/>
            <c:spPr>
              <a:solidFill>
                <a:srgbClr val="FF9900"/>
              </a:solidFill>
            </c:spPr>
          </c:dPt>
          <c:dPt>
            <c:idx val="4"/>
            <c:spPr>
              <a:solidFill>
                <a:srgbClr val="D60093"/>
              </a:solidFill>
            </c:spPr>
          </c:dPt>
          <c:dPt>
            <c:idx val="5"/>
            <c:spPr>
              <a:solidFill>
                <a:schemeClr val="accent6">
                  <a:lumMod val="50000"/>
                </a:schemeClr>
              </a:solidFill>
            </c:spPr>
          </c:dPt>
          <c:dLbls>
            <c:dLbl>
              <c:idx val="0"/>
              <c:layout>
                <c:manualLayout>
                  <c:x val="-2.9351292339810195E-2"/>
                  <c:y val="1.8733670421599121E-2"/>
                </c:manualLayout>
              </c:layout>
              <c:showCatName val="1"/>
              <c:showPercent val="1"/>
            </c:dLbl>
            <c:dLbl>
              <c:idx val="1"/>
              <c:layout>
                <c:manualLayout>
                  <c:x val="-0.18852098704197592"/>
                  <c:y val="-9.3563911987637263E-2"/>
                </c:manualLayout>
              </c:layout>
              <c:showCatName val="1"/>
              <c:showPercent val="1"/>
            </c:dLbl>
            <c:dLbl>
              <c:idx val="2"/>
              <c:layout>
                <c:manualLayout>
                  <c:x val="0.11358991792995785"/>
                  <c:y val="-0.18792929503978956"/>
                </c:manualLayout>
              </c:layout>
              <c:showCatName val="1"/>
              <c:showPercent val="1"/>
            </c:dLbl>
            <c:dLbl>
              <c:idx val="3"/>
              <c:layout>
                <c:manualLayout>
                  <c:x val="1.2544171303257164E-2"/>
                  <c:y val="-4.5754060878857174E-2"/>
                </c:manualLayout>
              </c:layout>
              <c:showCatName val="1"/>
              <c:showPercent val="1"/>
            </c:dLbl>
            <c:dLbl>
              <c:idx val="4"/>
              <c:layout>
                <c:manualLayout>
                  <c:x val="2.2272631508384252E-2"/>
                  <c:y val="-1.0000815857077761E-2"/>
                </c:manualLayout>
              </c:layout>
              <c:showCatName val="1"/>
              <c:showPercent val="1"/>
            </c:dLbl>
            <c:dLbl>
              <c:idx val="5"/>
              <c:layout>
                <c:manualLayout>
                  <c:x val="6.1428037884374127E-2"/>
                  <c:y val="-6.1264896853777014E-3"/>
                </c:manualLayout>
              </c:layout>
              <c:showCatName val="1"/>
              <c:showPercent val="1"/>
            </c:dLbl>
            <c:txPr>
              <a:bodyPr/>
              <a:lstStyle/>
              <a:p>
                <a:pPr>
                  <a:defRPr sz="800"/>
                </a:pPr>
                <a:endParaRPr lang="es-MX"/>
              </a:p>
            </c:txPr>
            <c:showCatName val="1"/>
            <c:showPercent val="1"/>
          </c:dLbls>
          <c:cat>
            <c:strRef>
              <c:f>Cuartos!$D$4:$I$5</c:f>
              <c:strCache>
                <c:ptCount val="6"/>
                <c:pt idx="0">
                  <c:v>Cinco
estrellas</c:v>
                </c:pt>
                <c:pt idx="1">
                  <c:v>Cuatro
estrellas</c:v>
                </c:pt>
                <c:pt idx="2">
                  <c:v>Tres 
estrellas</c:v>
                </c:pt>
                <c:pt idx="3">
                  <c:v>Dos
estrellas</c:v>
                </c:pt>
                <c:pt idx="4">
                  <c:v>Una
estrella</c:v>
                </c:pt>
                <c:pt idx="5">
                  <c:v>Sin 
categoría</c:v>
                </c:pt>
              </c:strCache>
            </c:strRef>
          </c:cat>
          <c:val>
            <c:numRef>
              <c:f>Cuartos!$D$9:$I$9</c:f>
              <c:numCache>
                <c:formatCode>0.0</c:formatCode>
                <c:ptCount val="6"/>
                <c:pt idx="0">
                  <c:v>10.520722635494153</c:v>
                </c:pt>
                <c:pt idx="1">
                  <c:v>38.044633368756394</c:v>
                </c:pt>
                <c:pt idx="2">
                  <c:v>14.824654622741766</c:v>
                </c:pt>
                <c:pt idx="3">
                  <c:v>7.8639744952178505</c:v>
                </c:pt>
                <c:pt idx="4">
                  <c:v>10.042507970244422</c:v>
                </c:pt>
                <c:pt idx="5">
                  <c:v>18.703506907544913</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chartSpace>
</file>

<file path=word/charts/chart7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lgn="ctr">
              <a:defRPr sz="1200" b="0"/>
            </a:pPr>
            <a:r>
              <a:rPr lang="es-MX" sz="1200" b="0"/>
              <a:t>Coatzacoalcos. Turistas que se hospedaron en establecimientos según su categoría.</a:t>
            </a:r>
            <a:r>
              <a:rPr lang="es-MX" sz="1200" b="0" baseline="0"/>
              <a:t> 2007</a:t>
            </a:r>
            <a:endParaRPr lang="es-MX" sz="1200" b="0"/>
          </a:p>
        </c:rich>
      </c:tx>
      <c:layout>
        <c:manualLayout>
          <c:xMode val="edge"/>
          <c:yMode val="edge"/>
          <c:x val="0.12156746187706335"/>
          <c:y val="4.6332269053665123E-2"/>
        </c:manualLayout>
      </c:layout>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4347701015187242E-2"/>
          <c:y val="0.25738283533435086"/>
          <c:w val="0.9313045979696255"/>
          <c:h val="0.48322002530623587"/>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 sourceLinked="0"/>
            <c:txPr>
              <a:bodyPr/>
              <a:lstStyle/>
              <a:p>
                <a:pPr>
                  <a:defRPr sz="900"/>
                </a:pPr>
                <a:endParaRPr lang="es-MX"/>
              </a:p>
            </c:txPr>
            <c:showVal val="1"/>
          </c:dLbls>
          <c:cat>
            <c:strRef>
              <c:f>'Turistas Categoria'!$C$2:$G$3</c:f>
              <c:strCache>
                <c:ptCount val="5"/>
                <c:pt idx="0">
                  <c:v>Cinco
estrellas</c:v>
                </c:pt>
                <c:pt idx="1">
                  <c:v>Cuatro
estrellas</c:v>
                </c:pt>
                <c:pt idx="2">
                  <c:v>Tres 
estrellas</c:v>
                </c:pt>
                <c:pt idx="3">
                  <c:v>Dos
estrellas</c:v>
                </c:pt>
                <c:pt idx="4">
                  <c:v>Una
estrella</c:v>
                </c:pt>
              </c:strCache>
            </c:strRef>
          </c:cat>
          <c:val>
            <c:numRef>
              <c:f>'Turistas Categoria'!$C$4:$G$4</c:f>
              <c:numCache>
                <c:formatCode>General</c:formatCode>
                <c:ptCount val="5"/>
                <c:pt idx="0">
                  <c:v>21825</c:v>
                </c:pt>
                <c:pt idx="1">
                  <c:v>62503</c:v>
                </c:pt>
                <c:pt idx="2">
                  <c:v>33747</c:v>
                </c:pt>
                <c:pt idx="3">
                  <c:v>12462</c:v>
                </c:pt>
                <c:pt idx="4">
                  <c:v>5886</c:v>
                </c:pt>
              </c:numCache>
            </c:numRef>
          </c:val>
        </c:ser>
        <c:dLbls>
          <c:showVal val="1"/>
        </c:dLbls>
        <c:shape val="box"/>
        <c:axId val="88618496"/>
        <c:axId val="88620032"/>
        <c:axId val="0"/>
      </c:bar3DChart>
      <c:catAx>
        <c:axId val="88618496"/>
        <c:scaling>
          <c:orientation val="minMax"/>
        </c:scaling>
        <c:axPos val="b"/>
        <c:majorTickMark val="none"/>
        <c:tickLblPos val="nextTo"/>
        <c:crossAx val="88620032"/>
        <c:crosses val="autoZero"/>
        <c:auto val="1"/>
        <c:lblAlgn val="ctr"/>
        <c:lblOffset val="100"/>
      </c:catAx>
      <c:valAx>
        <c:axId val="88620032"/>
        <c:scaling>
          <c:orientation val="minMax"/>
        </c:scaling>
        <c:delete val="1"/>
        <c:axPos val="l"/>
        <c:numFmt formatCode="General" sourceLinked="1"/>
        <c:tickLblPos val="none"/>
        <c:crossAx val="8861849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Coatzacoalcos.</a:t>
            </a:r>
            <a:r>
              <a:rPr lang="es-MX" sz="1400" baseline="0"/>
              <a:t> Establecimientos de preparación y servicios de alimentos y de bebidas. 2007</a:t>
            </a:r>
            <a:endParaRPr lang="es-MX" sz="14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0555555555555582E-2"/>
          <c:y val="0.19432888597258677"/>
          <c:w val="0.9583333333333337"/>
          <c:h val="0.53847524000707281"/>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'Establecimientos de alimentos'!$C$1:$G$1</c:f>
              <c:strCache>
                <c:ptCount val="5"/>
                <c:pt idx="0">
                  <c:v>Restaurantes</c:v>
                </c:pt>
                <c:pt idx="1">
                  <c:v>Restaurantes-bar</c:v>
                </c:pt>
                <c:pt idx="2">
                  <c:v>Cafeterías</c:v>
                </c:pt>
                <c:pt idx="3">
                  <c:v>Discotecas
y centros
nocturnos</c:v>
                </c:pt>
                <c:pt idx="4">
                  <c:v>Bares</c:v>
                </c:pt>
              </c:strCache>
            </c:strRef>
          </c:cat>
          <c:val>
            <c:numRef>
              <c:f>'Establecimientos de alimentos'!$C$2:$G$2</c:f>
              <c:numCache>
                <c:formatCode>#,##0</c:formatCode>
                <c:ptCount val="5"/>
                <c:pt idx="0">
                  <c:v>218</c:v>
                </c:pt>
                <c:pt idx="1">
                  <c:v>37</c:v>
                </c:pt>
                <c:pt idx="2">
                  <c:v>13</c:v>
                </c:pt>
                <c:pt idx="3">
                  <c:v>10</c:v>
                </c:pt>
                <c:pt idx="4">
                  <c:v>27</c:v>
                </c:pt>
              </c:numCache>
            </c:numRef>
          </c:val>
        </c:ser>
        <c:dLbls>
          <c:showVal val="1"/>
        </c:dLbls>
        <c:shape val="box"/>
        <c:axId val="88636416"/>
        <c:axId val="88650496"/>
        <c:axId val="0"/>
      </c:bar3DChart>
      <c:catAx>
        <c:axId val="88636416"/>
        <c:scaling>
          <c:orientation val="minMax"/>
        </c:scaling>
        <c:axPos val="b"/>
        <c:majorTickMark val="none"/>
        <c:tickLblPos val="nextTo"/>
        <c:txPr>
          <a:bodyPr/>
          <a:lstStyle/>
          <a:p>
            <a:pPr>
              <a:defRPr sz="800"/>
            </a:pPr>
            <a:endParaRPr lang="es-MX"/>
          </a:p>
        </c:txPr>
        <c:crossAx val="88650496"/>
        <c:crosses val="autoZero"/>
        <c:auto val="1"/>
        <c:lblAlgn val="ctr"/>
        <c:lblOffset val="100"/>
      </c:catAx>
      <c:valAx>
        <c:axId val="88650496"/>
        <c:scaling>
          <c:orientation val="minMax"/>
        </c:scaling>
        <c:delete val="1"/>
        <c:axPos val="l"/>
        <c:numFmt formatCode="#,##0" sourceLinked="1"/>
        <c:tickLblPos val="none"/>
        <c:crossAx val="8863641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Agencias de Viajes, Empresas arrendadoras de automóviles y Transportadoras turisticas. 2007</a:t>
            </a:r>
            <a:endParaRPr lang="es-MX" sz="12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plotArea>
      <c:layout>
        <c:manualLayout>
          <c:layoutTarget val="inner"/>
          <c:xMode val="edge"/>
          <c:yMode val="edge"/>
          <c:x val="0.23183552055993001"/>
          <c:y val="0.19432888597258677"/>
          <c:w val="0.75705336832895886"/>
          <c:h val="0.75474518810149516"/>
        </c:manualLayout>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cat>
            <c:strRef>
              <c:f>'Agencias de Viajes'!$B$3:$D$3</c:f>
              <c:strCache>
                <c:ptCount val="3"/>
                <c:pt idx="0">
                  <c:v>Agencias de
viajes</c:v>
                </c:pt>
                <c:pt idx="1">
                  <c:v>Empresas 
arrendadoras
de automóviles</c:v>
                </c:pt>
                <c:pt idx="2">
                  <c:v>Transportadoras 
turísticas 
terrestres</c:v>
                </c:pt>
              </c:strCache>
            </c:strRef>
          </c:cat>
          <c:val>
            <c:numRef>
              <c:f>'Agencias de Viajes'!$B$4:$D$4</c:f>
              <c:numCache>
                <c:formatCode>General</c:formatCode>
                <c:ptCount val="3"/>
                <c:pt idx="0">
                  <c:v>16</c:v>
                </c:pt>
                <c:pt idx="1">
                  <c:v>10</c:v>
                </c:pt>
                <c:pt idx="2">
                  <c:v>1</c:v>
                </c:pt>
              </c:numCache>
            </c:numRef>
          </c:val>
        </c:ser>
        <c:dLbls>
          <c:showVal val="1"/>
        </c:dLbls>
        <c:shape val="box"/>
        <c:axId val="88670976"/>
        <c:axId val="88672512"/>
        <c:axId val="0"/>
      </c:bar3DChart>
      <c:catAx>
        <c:axId val="88670976"/>
        <c:scaling>
          <c:orientation val="minMax"/>
        </c:scaling>
        <c:axPos val="l"/>
        <c:majorTickMark val="none"/>
        <c:tickLblPos val="nextTo"/>
        <c:txPr>
          <a:bodyPr/>
          <a:lstStyle/>
          <a:p>
            <a:pPr>
              <a:defRPr sz="800"/>
            </a:pPr>
            <a:endParaRPr lang="es-MX"/>
          </a:p>
        </c:txPr>
        <c:crossAx val="88672512"/>
        <c:crosses val="autoZero"/>
        <c:auto val="1"/>
        <c:lblAlgn val="ctr"/>
        <c:lblOffset val="100"/>
      </c:catAx>
      <c:valAx>
        <c:axId val="88672512"/>
        <c:scaling>
          <c:orientation val="minMax"/>
        </c:scaling>
        <c:delete val="1"/>
        <c:axPos val="b"/>
        <c:numFmt formatCode="General" sourceLinked="1"/>
        <c:tickLblPos val="none"/>
        <c:crossAx val="8867097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7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a:t>
            </a:r>
            <a:r>
              <a:rPr lang="es-MX" sz="1200" baseline="0"/>
              <a:t> Monto de Créditos y Acrediados en el Sector Comercio 2007.</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3.6349264129052636E-2"/>
          <c:y val="0.3730043773721497"/>
          <c:w val="0.9273014717418947"/>
          <c:h val="0.44156386292585864"/>
        </c:manualLayout>
      </c:layout>
      <c:bar3DChart>
        <c:barDir val="col"/>
        <c:grouping val="clustered"/>
        <c:ser>
          <c:idx val="0"/>
          <c:order val="0"/>
          <c:tx>
            <c:strRef>
              <c:f>'CREDITOS OTORGADOS Y ACREDITADO'!$D$46</c:f>
              <c:strCache>
                <c:ptCount val="1"/>
                <c:pt idx="0">
                  <c:v>Monto de Crédito</c:v>
                </c:pt>
              </c:strCache>
            </c:strRef>
          </c:tx>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2.777777777777838E-2"/>
                  <c:y val="-9.2517012749500048E-3"/>
                </c:manualLayout>
              </c:layout>
              <c:showVal val="1"/>
            </c:dLbl>
            <c:dLbl>
              <c:idx val="1"/>
              <c:layout>
                <c:manualLayout>
                  <c:x val="3.0555555555555582E-2"/>
                  <c:y val="-9.2517012749500048E-3"/>
                </c:manualLayout>
              </c:layout>
              <c:showVal val="1"/>
            </c:dLbl>
            <c:showVal val="1"/>
          </c:dLbls>
          <c:cat>
            <c:strRef>
              <c:f>'CREDITOS OTORGADOS Y ACREDITADO'!$D$47:$E$47</c:f>
              <c:strCache>
                <c:ptCount val="2"/>
                <c:pt idx="0">
                  <c:v>Avío     </c:v>
                </c:pt>
                <c:pt idx="1">
                  <c:v>Refaccionario  
</c:v>
                </c:pt>
              </c:strCache>
            </c:strRef>
          </c:cat>
          <c:val>
            <c:numRef>
              <c:f>'CREDITOS OTORGADOS Y ACREDITADO'!$D$48:$E$48</c:f>
              <c:numCache>
                <c:formatCode>#,##0</c:formatCode>
                <c:ptCount val="2"/>
                <c:pt idx="0">
                  <c:v>3010</c:v>
                </c:pt>
                <c:pt idx="1">
                  <c:v>40</c:v>
                </c:pt>
              </c:numCache>
            </c:numRef>
          </c:val>
        </c:ser>
        <c:ser>
          <c:idx val="1"/>
          <c:order val="1"/>
          <c:tx>
            <c:strRef>
              <c:f>'CREDITOS OTORGADOS Y ACREDITADO'!$E$46</c:f>
              <c:strCache>
                <c:ptCount val="1"/>
                <c:pt idx="0">
                  <c:v>Acreditados</c:v>
                </c:pt>
              </c:strCache>
            </c:strRef>
          </c:tx>
          <c:spPr>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3.0555555555555582E-2"/>
                  <c:y val="-1.3877551912425136E-2"/>
                </c:manualLayout>
              </c:layout>
              <c:showVal val="1"/>
            </c:dLbl>
            <c:dLbl>
              <c:idx val="1"/>
              <c:layout>
                <c:manualLayout>
                  <c:x val="3.3333333333333229E-2"/>
                  <c:y val="-1.3877551912425238E-2"/>
                </c:manualLayout>
              </c:layout>
              <c:showVal val="1"/>
            </c:dLbl>
            <c:spPr>
              <a:effectLst>
                <a:outerShdw blurRad="50800" dist="38100" dir="2700000" algn="tl" rotWithShape="0">
                  <a:prstClr val="black">
                    <a:alpha val="40000"/>
                  </a:prstClr>
                </a:outerShdw>
              </a:effectLst>
              <a:scene3d>
                <a:camera prst="orthographicFront"/>
                <a:lightRig rig="threePt" dir="t"/>
              </a:scene3d>
              <a:sp3d>
                <a:bevelT/>
              </a:sp3d>
            </c:spPr>
            <c:showVal val="1"/>
          </c:dLbls>
          <c:cat>
            <c:strRef>
              <c:f>'CREDITOS OTORGADOS Y ACREDITADO'!$D$47:$E$47</c:f>
              <c:strCache>
                <c:ptCount val="2"/>
                <c:pt idx="0">
                  <c:v>Avío     </c:v>
                </c:pt>
                <c:pt idx="1">
                  <c:v>Refaccionario  
</c:v>
                </c:pt>
              </c:strCache>
            </c:strRef>
          </c:cat>
          <c:val>
            <c:numRef>
              <c:f>'CREDITOS OTORGADOS Y ACREDITADO'!$D$49:$E$49</c:f>
              <c:numCache>
                <c:formatCode>#,##0</c:formatCode>
                <c:ptCount val="2"/>
                <c:pt idx="0">
                  <c:v>2</c:v>
                </c:pt>
                <c:pt idx="1">
                  <c:v>1</c:v>
                </c:pt>
              </c:numCache>
            </c:numRef>
          </c:val>
        </c:ser>
        <c:dLbls>
          <c:showVal val="1"/>
        </c:dLbls>
        <c:shape val="box"/>
        <c:axId val="88729472"/>
        <c:axId val="88731008"/>
        <c:axId val="0"/>
      </c:bar3DChart>
      <c:catAx>
        <c:axId val="88729472"/>
        <c:scaling>
          <c:orientation val="minMax"/>
        </c:scaling>
        <c:axPos val="b"/>
        <c:majorTickMark val="none"/>
        <c:tickLblPos val="nextTo"/>
        <c:crossAx val="88731008"/>
        <c:crosses val="autoZero"/>
        <c:auto val="1"/>
        <c:lblAlgn val="ctr"/>
        <c:lblOffset val="100"/>
      </c:catAx>
      <c:valAx>
        <c:axId val="88731008"/>
        <c:scaling>
          <c:orientation val="minMax"/>
        </c:scaling>
        <c:delete val="1"/>
        <c:axPos val="l"/>
        <c:numFmt formatCode="#,##0" sourceLinked="1"/>
        <c:tickLblPos val="none"/>
        <c:crossAx val="88729472"/>
        <c:crosses val="autoZero"/>
        <c:crossBetween val="between"/>
      </c:valAx>
    </c:plotArea>
    <c:legend>
      <c:legendPos val="t"/>
    </c:legend>
    <c:plotVisOnly val="1"/>
  </c:chart>
  <c:spPr>
    <a:effectLst>
      <a:outerShdw blurRad="50800" dist="38100" dir="2700000" algn="tl" rotWithShape="0">
        <a:prstClr val="black">
          <a:alpha val="40000"/>
        </a:prstClr>
      </a:outerShdw>
    </a:effectLst>
  </c:spPr>
  <c:externalData r:id="rId1"/>
</c:chartSpace>
</file>

<file path=word/charts/chart8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a:t>
            </a:r>
            <a:r>
              <a:rPr lang="es-MX" sz="1200" baseline="0"/>
              <a:t> INGRESOS PÚBLICOS MUNICIPALES TOTALES 1997-2009</a:t>
            </a:r>
          </a:p>
          <a:p>
            <a:pPr>
              <a:defRPr sz="1200"/>
            </a:pPr>
            <a:r>
              <a:rPr lang="es-MX" sz="1200" baseline="0"/>
              <a:t>(Pesos corrientes)</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2.5551684088269491E-2"/>
          <c:y val="0.23847736625514404"/>
          <c:w val="0.94889663182346162"/>
          <c:h val="0.59081948089822056"/>
        </c:manualLayout>
      </c:layout>
      <c:bar3DChart>
        <c:barDir val="col"/>
        <c:grouping val="clustered"/>
        <c:ser>
          <c:idx val="0"/>
          <c:order val="0"/>
          <c:dLbls>
            <c:delete val="1"/>
          </c:dLbls>
          <c:cat>
            <c:numRef>
              <c:f>'Ingreos públicos municipales'!$A$2:$A$14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'Ingreos públicos municipales'!$A$2:$A$14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val>
        </c:ser>
        <c:ser>
          <c:idx val="1"/>
          <c:order val="1"/>
          <c:spPr>
            <a:solidFill>
              <a:schemeClr val="accent3"/>
            </a:solidFill>
            <a:ln w="6350"/>
            <a:effectLst>
              <a:outerShdw blurRad="50800" dist="38100" dir="2700000" algn="tl" rotWithShape="0">
                <a:prstClr val="black">
                  <a:alpha val="40000"/>
                </a:prstClr>
              </a:outerShdw>
            </a:effectLst>
            <a:scene3d>
              <a:camera prst="orthographicFront"/>
              <a:lightRig rig="threePt" dir="t"/>
            </a:scene3d>
            <a:sp3d>
              <a:bevelT/>
            </a:sp3d>
          </c:spPr>
          <c:dLbls>
            <c:dLbl>
              <c:idx val="3"/>
              <c:layout>
                <c:manualLayout>
                  <c:x val="2.3228803716608595E-3"/>
                  <c:y val="0.25102880658436288"/>
                </c:manualLayout>
              </c:layout>
              <c:showVal val="1"/>
            </c:dLbl>
            <c:dLbl>
              <c:idx val="4"/>
              <c:layout>
                <c:manualLayout>
                  <c:x val="2.3228803716608191E-3"/>
                  <c:y val="0.25102880658436288"/>
                </c:manualLayout>
              </c:layout>
              <c:showVal val="1"/>
            </c:dLbl>
            <c:dLbl>
              <c:idx val="5"/>
              <c:layout>
                <c:manualLayout>
                  <c:x val="4.6457607433217979E-3"/>
                  <c:y val="0.24691358024691606"/>
                </c:manualLayout>
              </c:layout>
              <c:showVal val="1"/>
            </c:dLbl>
            <c:dLbl>
              <c:idx val="6"/>
              <c:layout>
                <c:manualLayout>
                  <c:x val="2.3228803716608595E-3"/>
                  <c:y val="0.24279835390946844"/>
                </c:manualLayout>
              </c:layout>
              <c:showVal val="1"/>
            </c:dLbl>
            <c:dLbl>
              <c:idx val="7"/>
              <c:layout>
                <c:manualLayout>
                  <c:x val="4.6457607433217979E-3"/>
                  <c:y val="0.24691358024691612"/>
                </c:manualLayout>
              </c:layout>
              <c:showVal val="1"/>
            </c:dLbl>
            <c:dLbl>
              <c:idx val="8"/>
              <c:layout>
                <c:manualLayout>
                  <c:x val="4.6457607433217979E-3"/>
                  <c:y val="0.24691358024691609"/>
                </c:manualLayout>
              </c:layout>
              <c:showVal val="1"/>
            </c:dLbl>
            <c:dLbl>
              <c:idx val="9"/>
              <c:layout>
                <c:manualLayout>
                  <c:x val="2.3228803716608595E-3"/>
                  <c:y val="0.24691358024691609"/>
                </c:manualLayout>
              </c:layout>
              <c:showVal val="1"/>
            </c:dLbl>
            <c:dLbl>
              <c:idx val="10"/>
              <c:layout>
                <c:manualLayout>
                  <c:x val="2.3228803716608595E-3"/>
                  <c:y val="0.25102880658436288"/>
                </c:manualLayout>
              </c:layout>
              <c:showVal val="1"/>
            </c:dLbl>
            <c:dLbl>
              <c:idx val="11"/>
              <c:layout>
                <c:manualLayout>
                  <c:x val="2.3228803716608595E-3"/>
                  <c:y val="0.23868312757201651"/>
                </c:manualLayout>
              </c:layout>
              <c:showVal val="1"/>
            </c:dLbl>
            <c:dLbl>
              <c:idx val="12"/>
              <c:layout>
                <c:manualLayout>
                  <c:x val="2.3228803716608595E-3"/>
                  <c:y val="0.22222222222222243"/>
                </c:manualLayout>
              </c:layout>
              <c:showVal val="1"/>
            </c:dLbl>
            <c:txPr>
              <a:bodyPr rot="-5400000" vert="horz"/>
              <a:lstStyle/>
              <a:p>
                <a:pPr>
                  <a:defRPr sz="900"/>
                </a:pPr>
                <a:endParaRPr lang="es-MX"/>
              </a:p>
            </c:txPr>
            <c:showVal val="1"/>
          </c:dLbls>
          <c:cat>
            <c:numRef>
              <c:f>'Ingreos públicos municipales'!$A$2:$A$14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'Ingreos públicos municipales'!$B$2:$B$14</c:f>
              <c:numCache>
                <c:formatCode>_(* #,##0_);_(* \(#,##0\);_(* "-"??_);_(@_)</c:formatCode>
                <c:ptCount val="13"/>
                <c:pt idx="0">
                  <c:v>190549938</c:v>
                </c:pt>
                <c:pt idx="1">
                  <c:v>178231277</c:v>
                </c:pt>
                <c:pt idx="2">
                  <c:v>253839319</c:v>
                </c:pt>
                <c:pt idx="3">
                  <c:v>377708084</c:v>
                </c:pt>
                <c:pt idx="4">
                  <c:v>449626865</c:v>
                </c:pt>
                <c:pt idx="5">
                  <c:v>672516462</c:v>
                </c:pt>
                <c:pt idx="6">
                  <c:v>682685159</c:v>
                </c:pt>
                <c:pt idx="7">
                  <c:v>677167416</c:v>
                </c:pt>
                <c:pt idx="8">
                  <c:v>637199039</c:v>
                </c:pt>
                <c:pt idx="9" formatCode="_-* #,##0_-;\-* #,##0_-;_-* &quot;-&quot;??_-;_-@_-">
                  <c:v>581900000</c:v>
                </c:pt>
                <c:pt idx="10">
                  <c:v>596494813.39999998</c:v>
                </c:pt>
                <c:pt idx="11" formatCode="#,##0">
                  <c:v>676857527.73000002</c:v>
                </c:pt>
                <c:pt idx="12" formatCode="#,##0">
                  <c:v>716728181</c:v>
                </c:pt>
              </c:numCache>
            </c:numRef>
          </c:val>
        </c:ser>
        <c:dLbls>
          <c:showVal val="1"/>
        </c:dLbls>
        <c:gapWidth val="50"/>
        <c:gapDepth val="50"/>
        <c:shape val="box"/>
        <c:axId val="88766336"/>
        <c:axId val="88767872"/>
        <c:axId val="0"/>
      </c:bar3DChart>
      <c:catAx>
        <c:axId val="88766336"/>
        <c:scaling>
          <c:orientation val="minMax"/>
        </c:scaling>
        <c:axPos val="b"/>
        <c:numFmt formatCode="General" sourceLinked="1"/>
        <c:majorTickMark val="none"/>
        <c:tickLblPos val="nextTo"/>
        <c:crossAx val="88767872"/>
        <c:crosses val="autoZero"/>
        <c:auto val="1"/>
        <c:lblAlgn val="ctr"/>
        <c:lblOffset val="100"/>
      </c:catAx>
      <c:valAx>
        <c:axId val="88767872"/>
        <c:scaling>
          <c:orientation val="minMax"/>
        </c:scaling>
        <c:delete val="1"/>
        <c:axPos val="l"/>
        <c:numFmt formatCode="General" sourceLinked="1"/>
        <c:tickLblPos val="none"/>
        <c:crossAx val="88766336"/>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8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INGRESOS MUNICIPALES PROPIOS Y FEDERALES 1990-2009</a:t>
            </a:r>
          </a:p>
          <a:p>
            <a:pPr>
              <a:defRPr sz="1200" b="0"/>
            </a:pPr>
            <a:r>
              <a:rPr lang="es-MX" sz="1200" b="0" baseline="0"/>
              <a:t>(Porcentaje del total de ingresos municipales)</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3.9328620268242437E-2"/>
          <c:y val="0.23098931784572693"/>
          <c:w val="0.93185671044558693"/>
          <c:h val="0.55847723536263949"/>
        </c:manualLayout>
      </c:layout>
      <c:lineChart>
        <c:grouping val="standard"/>
        <c:ser>
          <c:idx val="0"/>
          <c:order val="0"/>
          <c:tx>
            <c:strRef>
              <c:f>'Ingresos prpios y federales'!$B$1</c:f>
              <c:strCache>
                <c:ptCount val="1"/>
                <c:pt idx="0">
                  <c:v>Ingresos Propios</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4.4531761624099539E-2"/>
                  <c:y val="1.8518518518518701E-2"/>
                </c:manualLayout>
              </c:layout>
              <c:showVal val="1"/>
            </c:dLbl>
            <c:dLbl>
              <c:idx val="1"/>
              <c:delete val="1"/>
            </c:dLbl>
            <c:dLbl>
              <c:idx val="2"/>
              <c:delete val="1"/>
            </c:dLbl>
            <c:dLbl>
              <c:idx val="3"/>
              <c:delete val="1"/>
            </c:dLbl>
            <c:dLbl>
              <c:idx val="5"/>
              <c:delete val="1"/>
            </c:dLbl>
            <c:dLbl>
              <c:idx val="6"/>
              <c:delete val="1"/>
            </c:dLbl>
            <c:dLbl>
              <c:idx val="8"/>
              <c:delete val="1"/>
            </c:dLbl>
            <c:dLbl>
              <c:idx val="9"/>
              <c:delete val="1"/>
            </c:dLbl>
            <c:dLbl>
              <c:idx val="11"/>
              <c:delete val="1"/>
            </c:dLbl>
            <c:dLbl>
              <c:idx val="13"/>
              <c:delete val="1"/>
            </c:dLbl>
            <c:dLbl>
              <c:idx val="14"/>
              <c:delete val="1"/>
            </c:dLbl>
            <c:dLbl>
              <c:idx val="15"/>
              <c:delete val="1"/>
            </c:dLbl>
            <c:dLbl>
              <c:idx val="16"/>
              <c:delete val="1"/>
            </c:dLbl>
            <c:dLbl>
              <c:idx val="17"/>
              <c:delete val="1"/>
            </c:dLbl>
            <c:dLbl>
              <c:idx val="18"/>
              <c:delete val="1"/>
            </c:dLbl>
            <c:showVal val="1"/>
          </c:dLbls>
          <c:cat>
            <c:numRef>
              <c:f>'Ingresos prpios y federales'!$A$2:$A$21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'Ingresos prpios y federales'!$B$2:$B$21</c:f>
              <c:numCache>
                <c:formatCode>0.0</c:formatCode>
                <c:ptCount val="20"/>
                <c:pt idx="0">
                  <c:v>33.888475913568406</c:v>
                </c:pt>
                <c:pt idx="1">
                  <c:v>35.712698373394595</c:v>
                </c:pt>
                <c:pt idx="2">
                  <c:v>35.619827650585826</c:v>
                </c:pt>
                <c:pt idx="3">
                  <c:v>31.025096679243674</c:v>
                </c:pt>
                <c:pt idx="4">
                  <c:v>37.497776294157511</c:v>
                </c:pt>
                <c:pt idx="5">
                  <c:v>22.992208889078189</c:v>
                </c:pt>
                <c:pt idx="6">
                  <c:v>13.913080434326407</c:v>
                </c:pt>
                <c:pt idx="7">
                  <c:v>12.959047512259172</c:v>
                </c:pt>
                <c:pt idx="8">
                  <c:v>15.242927311798365</c:v>
                </c:pt>
                <c:pt idx="9">
                  <c:v>13.120860523581849</c:v>
                </c:pt>
                <c:pt idx="10">
                  <c:v>9.3461666549874547</c:v>
                </c:pt>
                <c:pt idx="11">
                  <c:v>12.429507965454867</c:v>
                </c:pt>
                <c:pt idx="12">
                  <c:v>42.922542913158416</c:v>
                </c:pt>
                <c:pt idx="13">
                  <c:v>9.5860759732730614</c:v>
                </c:pt>
                <c:pt idx="14">
                  <c:v>23.924850069868135</c:v>
                </c:pt>
                <c:pt idx="15">
                  <c:v>19.14120714799132</c:v>
                </c:pt>
                <c:pt idx="16">
                  <c:v>20.57054476714212</c:v>
                </c:pt>
                <c:pt idx="17">
                  <c:v>15.517879864267737</c:v>
                </c:pt>
                <c:pt idx="18">
                  <c:v>16</c:v>
                </c:pt>
                <c:pt idx="19">
                  <c:v>16.600000000000001</c:v>
                </c:pt>
              </c:numCache>
            </c:numRef>
          </c:val>
          <c:smooth val="1"/>
        </c:ser>
        <c:ser>
          <c:idx val="1"/>
          <c:order val="1"/>
          <c:tx>
            <c:strRef>
              <c:f>'Ingresos prpios y federales'!$C$1</c:f>
              <c:strCache>
                <c:ptCount val="1"/>
                <c:pt idx="0">
                  <c:v>Ingresos Federales</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4.1912452495500928E-2"/>
                  <c:y val="-2.5925925925926012E-2"/>
                </c:manualLayout>
              </c:layout>
              <c:showVal val="1"/>
            </c:dLbl>
            <c:dLbl>
              <c:idx val="1"/>
              <c:delete val="1"/>
            </c:dLbl>
            <c:dLbl>
              <c:idx val="2"/>
              <c:delete val="1"/>
            </c:dLbl>
            <c:dLbl>
              <c:idx val="3"/>
              <c:delete val="1"/>
            </c:dLbl>
            <c:dLbl>
              <c:idx val="5"/>
              <c:delete val="1"/>
            </c:dLbl>
            <c:dLbl>
              <c:idx val="6"/>
              <c:delete val="1"/>
            </c:dLbl>
            <c:dLbl>
              <c:idx val="8"/>
              <c:delete val="1"/>
            </c:dLbl>
            <c:dLbl>
              <c:idx val="9"/>
              <c:delete val="1"/>
            </c:dLbl>
            <c:dLbl>
              <c:idx val="11"/>
              <c:delete val="1"/>
            </c:dLbl>
            <c:dLbl>
              <c:idx val="13"/>
              <c:delete val="1"/>
            </c:dLbl>
            <c:dLbl>
              <c:idx val="14"/>
              <c:delete val="1"/>
            </c:dLbl>
            <c:dLbl>
              <c:idx val="15"/>
              <c:delete val="1"/>
            </c:dLbl>
            <c:dLbl>
              <c:idx val="16"/>
              <c:delete val="1"/>
            </c:dLbl>
            <c:dLbl>
              <c:idx val="17"/>
              <c:delete val="1"/>
            </c:dLbl>
            <c:dLbl>
              <c:idx val="18"/>
              <c:delete val="1"/>
            </c:dLbl>
            <c:showVal val="1"/>
          </c:dLbls>
          <c:cat>
            <c:numRef>
              <c:f>'Ingresos prpios y federales'!$A$2:$A$21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'Ingresos prpios y federales'!$C$2:$C$21</c:f>
              <c:numCache>
                <c:formatCode>0.0</c:formatCode>
                <c:ptCount val="20"/>
                <c:pt idx="0">
                  <c:v>63.755201934406401</c:v>
                </c:pt>
                <c:pt idx="1">
                  <c:v>64.287301626605398</c:v>
                </c:pt>
                <c:pt idx="2">
                  <c:v>62.919699009994844</c:v>
                </c:pt>
                <c:pt idx="3">
                  <c:v>66.245353711326061</c:v>
                </c:pt>
                <c:pt idx="4">
                  <c:v>62.502223705841999</c:v>
                </c:pt>
                <c:pt idx="5">
                  <c:v>69.131730279082959</c:v>
                </c:pt>
                <c:pt idx="6">
                  <c:v>72.858345116352652</c:v>
                </c:pt>
                <c:pt idx="7">
                  <c:v>60.352224307729756</c:v>
                </c:pt>
                <c:pt idx="8">
                  <c:v>76.820905569789488</c:v>
                </c:pt>
                <c:pt idx="9">
                  <c:v>64.107492740318932</c:v>
                </c:pt>
                <c:pt idx="10">
                  <c:v>78.171638232660229</c:v>
                </c:pt>
                <c:pt idx="11">
                  <c:v>69.757703201298227</c:v>
                </c:pt>
                <c:pt idx="12">
                  <c:v>47.561839311526029</c:v>
                </c:pt>
                <c:pt idx="13">
                  <c:v>65.672433637888346</c:v>
                </c:pt>
                <c:pt idx="14">
                  <c:v>65.359444140767678</c:v>
                </c:pt>
                <c:pt idx="15">
                  <c:v>75.861595736022451</c:v>
                </c:pt>
                <c:pt idx="16">
                  <c:v>77.831242481526033</c:v>
                </c:pt>
                <c:pt idx="17">
                  <c:v>83.988107310505498</c:v>
                </c:pt>
                <c:pt idx="18">
                  <c:v>84</c:v>
                </c:pt>
                <c:pt idx="19">
                  <c:v>83.4</c:v>
                </c:pt>
              </c:numCache>
            </c:numRef>
          </c:val>
          <c:smooth val="1"/>
        </c:ser>
        <c:dLbls>
          <c:showVal val="1"/>
        </c:dLbls>
        <c:marker val="1"/>
        <c:axId val="88830336"/>
        <c:axId val="88831872"/>
      </c:lineChart>
      <c:catAx>
        <c:axId val="88830336"/>
        <c:scaling>
          <c:orientation val="minMax"/>
        </c:scaling>
        <c:axPos val="b"/>
        <c:numFmt formatCode="General" sourceLinked="1"/>
        <c:majorTickMark val="none"/>
        <c:tickLblPos val="nextTo"/>
        <c:txPr>
          <a:bodyPr rot="-5400000" vert="horz"/>
          <a:lstStyle/>
          <a:p>
            <a:pPr>
              <a:defRPr sz="900"/>
            </a:pPr>
            <a:endParaRPr lang="es-MX"/>
          </a:p>
        </c:txPr>
        <c:crossAx val="88831872"/>
        <c:crosses val="autoZero"/>
        <c:auto val="1"/>
        <c:lblAlgn val="ctr"/>
        <c:lblOffset val="100"/>
      </c:catAx>
      <c:valAx>
        <c:axId val="88831872"/>
        <c:scaling>
          <c:orientation val="minMax"/>
        </c:scaling>
        <c:delete val="1"/>
        <c:axPos val="l"/>
        <c:numFmt formatCode="0.0" sourceLinked="1"/>
        <c:tickLblPos val="none"/>
        <c:crossAx val="88830336"/>
        <c:crosses val="autoZero"/>
        <c:crossBetween val="between"/>
      </c:valAx>
    </c:plotArea>
    <c:legend>
      <c:legendPos val="t"/>
      <c:layout>
        <c:manualLayout>
          <c:xMode val="edge"/>
          <c:yMode val="edge"/>
          <c:x val="0.69823435478132356"/>
          <c:y val="0.4506438207909586"/>
          <c:w val="0.28060188328601038"/>
          <c:h val="0.14853200641586703"/>
        </c:manualLayout>
      </c:layout>
    </c:legend>
    <c:plotVisOnly val="1"/>
  </c:chart>
  <c:spPr>
    <a:effectLst>
      <a:outerShdw blurRad="50800" dist="38100" dir="2700000" algn="tl" rotWithShape="0">
        <a:prstClr val="black">
          <a:alpha val="40000"/>
        </a:prstClr>
      </a:outerShdw>
    </a:effectLst>
  </c:spPr>
  <c:externalData r:id="rId1"/>
</c:chartSpace>
</file>

<file path=word/charts/chart8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100"/>
            </a:pPr>
            <a:r>
              <a:rPr lang="es-MX" sz="1100"/>
              <a:t>COATZACOALCOS.</a:t>
            </a:r>
            <a:r>
              <a:rPr lang="es-MX" sz="1100" baseline="0"/>
              <a:t> INGRESOS MUNICIPALES SEGÚN ORIGEN 1997-2007.</a:t>
            </a:r>
          </a:p>
          <a:p>
            <a:pPr>
              <a:defRPr sz="1100"/>
            </a:pPr>
            <a:r>
              <a:rPr lang="es-MX" sz="1100" baseline="0"/>
              <a:t>(Pesos de 2002)</a:t>
            </a:r>
            <a:endParaRPr lang="es-MX" sz="11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2.4892509617560551E-2"/>
          <c:y val="0.18852895550855986"/>
          <c:w val="0.95021498076487898"/>
          <c:h val="0.61296193658059395"/>
        </c:manualLayout>
      </c:layout>
      <c:bar3DChart>
        <c:barDir val="col"/>
        <c:grouping val="clustered"/>
        <c:ser>
          <c:idx val="0"/>
          <c:order val="0"/>
          <c:tx>
            <c:strRef>
              <c:f>Hoja7!$E$1</c:f>
              <c:strCache>
                <c:ptCount val="1"/>
                <c:pt idx="0">
                  <c:v>Ingresos Propios</c:v>
                </c:pt>
              </c:strCache>
            </c:strRef>
          </c:tx>
          <c:spPr>
            <a:effectLst>
              <a:outerShdw blurRad="50800" dist="38100" dir="2700000" algn="tl" rotWithShape="0">
                <a:prstClr val="black">
                  <a:alpha val="40000"/>
                </a:prstClr>
              </a:outerShdw>
            </a:effectLst>
            <a:scene3d>
              <a:camera prst="orthographicFront"/>
              <a:lightRig rig="threePt" dir="t"/>
            </a:scene3d>
            <a:sp3d>
              <a:bevelT/>
            </a:sp3d>
          </c:spPr>
          <c:dLbls>
            <c:dLbl>
              <c:idx val="5"/>
              <c:layout>
                <c:manualLayout>
                  <c:x val="4.525910839556389E-3"/>
                  <c:y val="0.22617250999346544"/>
                </c:manualLayout>
              </c:layout>
              <c:showVal val="1"/>
            </c:dLbl>
            <c:numFmt formatCode="#,##0" sourceLinked="0"/>
            <c:txPr>
              <a:bodyPr rot="-5400000" vert="horz"/>
              <a:lstStyle/>
              <a:p>
                <a:pPr>
                  <a:defRPr sz="900"/>
                </a:pPr>
                <a:endParaRPr lang="es-MX"/>
              </a:p>
            </c:txPr>
            <c:showVal val="1"/>
          </c:dLbls>
          <c:cat>
            <c:numRef>
              <c:f>Hoja7!$A$2:$A$14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Hoja7!$B$2:$B$14</c:f>
              <c:numCache>
                <c:formatCode>0</c:formatCode>
                <c:ptCount val="13"/>
                <c:pt idx="0">
                  <c:v>42096979.977325954</c:v>
                </c:pt>
                <c:pt idx="1">
                  <c:v>40028628.996116385</c:v>
                </c:pt>
                <c:pt idx="2">
                  <c:v>42133681.784734711</c:v>
                </c:pt>
                <c:pt idx="3">
                  <c:v>40560530.753822424</c:v>
                </c:pt>
                <c:pt idx="4">
                  <c:v>59589461.67475149</c:v>
                </c:pt>
                <c:pt idx="5">
                  <c:v>288294392.46736097</c:v>
                </c:pt>
                <c:pt idx="6">
                  <c:v>61878190.46168232</c:v>
                </c:pt>
                <c:pt idx="7">
                  <c:v>145240816.10088459</c:v>
                </c:pt>
                <c:pt idx="8">
                  <c:v>104693208.58369099</c:v>
                </c:pt>
                <c:pt idx="9">
                  <c:v>98132628.894151598</c:v>
                </c:pt>
                <c:pt idx="10">
                  <c:v>72709590.823478207</c:v>
                </c:pt>
                <c:pt idx="11">
                  <c:v>80142321.465581045</c:v>
                </c:pt>
                <c:pt idx="12">
                  <c:v>88156553.619541079</c:v>
                </c:pt>
              </c:numCache>
            </c:numRef>
          </c:val>
        </c:ser>
        <c:ser>
          <c:idx val="1"/>
          <c:order val="1"/>
          <c:tx>
            <c:strRef>
              <c:f>Hoja7!$F$1</c:f>
              <c:strCache>
                <c:ptCount val="1"/>
                <c:pt idx="0">
                  <c:v>Ingresos Federales</c:v>
                </c:pt>
              </c:strCache>
            </c:strRef>
          </c:tx>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0"/>
              <c:layout>
                <c:manualLayout>
                  <c:x val="4.2395336512983904E-3"/>
                  <c:y val="0.21362799263351737"/>
                </c:manualLayout>
              </c:layout>
              <c:showVal val="1"/>
            </c:dLbl>
            <c:dLbl>
              <c:idx val="1"/>
              <c:layout>
                <c:manualLayout>
                  <c:x val="4.2395336512983904E-3"/>
                  <c:y val="0.20994475138121801"/>
                </c:manualLayout>
              </c:layout>
              <c:showVal val="1"/>
            </c:dLbl>
            <c:dLbl>
              <c:idx val="2"/>
              <c:layout>
                <c:manualLayout>
                  <c:x val="2.1197668256491792E-3"/>
                  <c:y val="0.22099447513812362"/>
                </c:manualLayout>
              </c:layout>
              <c:showVal val="1"/>
            </c:dLbl>
            <c:dLbl>
              <c:idx val="3"/>
              <c:layout>
                <c:manualLayout>
                  <c:x val="4.3826497247926892E-3"/>
                  <c:y val="0.21731137815401871"/>
                </c:manualLayout>
              </c:layout>
              <c:showVal val="1"/>
            </c:dLbl>
            <c:dLbl>
              <c:idx val="4"/>
              <c:layout>
                <c:manualLayout>
                  <c:x val="4.2395336512983904E-3"/>
                  <c:y val="0.21731123388582363"/>
                </c:manualLayout>
              </c:layout>
              <c:showVal val="1"/>
            </c:dLbl>
            <c:dLbl>
              <c:idx val="5"/>
              <c:layout>
                <c:manualLayout>
                  <c:x val="4.2395336512983904E-3"/>
                  <c:y val="0.20994475138121801"/>
                </c:manualLayout>
              </c:layout>
              <c:showVal val="1"/>
            </c:dLbl>
            <c:dLbl>
              <c:idx val="6"/>
              <c:layout>
                <c:manualLayout>
                  <c:x val="4.2395336512983904E-3"/>
                  <c:y val="0.21362799263351737"/>
                </c:manualLayout>
              </c:layout>
              <c:showVal val="1"/>
            </c:dLbl>
            <c:dLbl>
              <c:idx val="7"/>
              <c:layout>
                <c:manualLayout>
                  <c:x val="4.3826497247926432E-3"/>
                  <c:y val="0.21731137815401871"/>
                </c:manualLayout>
              </c:layout>
              <c:showVal val="1"/>
            </c:dLbl>
            <c:dLbl>
              <c:idx val="8"/>
              <c:layout>
                <c:manualLayout>
                  <c:x val="4.2395336512983904E-3"/>
                  <c:y val="0.21731123388582363"/>
                </c:manualLayout>
              </c:layout>
              <c:showVal val="1"/>
            </c:dLbl>
            <c:dLbl>
              <c:idx val="9"/>
              <c:layout>
                <c:manualLayout>
                  <c:x val="4.2395336512983904E-3"/>
                  <c:y val="0.21362799263351737"/>
                </c:manualLayout>
              </c:layout>
              <c:showVal val="1"/>
            </c:dLbl>
            <c:dLbl>
              <c:idx val="10"/>
              <c:layout>
                <c:manualLayout>
                  <c:x val="4.3826497247926432E-3"/>
                  <c:y val="0.21362796127086553"/>
                </c:manualLayout>
              </c:layout>
              <c:showVal val="1"/>
            </c:dLbl>
            <c:dLbl>
              <c:idx val="11"/>
              <c:layout>
                <c:manualLayout>
                  <c:x val="4.2395336512983904E-3"/>
                  <c:y val="0.22099447513812362"/>
                </c:manualLayout>
              </c:layout>
              <c:showVal val="1"/>
            </c:dLbl>
            <c:dLbl>
              <c:idx val="12"/>
              <c:layout>
                <c:manualLayout>
                  <c:x val="4.3826497247926432E-3"/>
                  <c:y val="0.22099448540226527"/>
                </c:manualLayout>
              </c:layout>
              <c:showVal val="1"/>
            </c:dLbl>
            <c:numFmt formatCode="#,##0" sourceLinked="0"/>
            <c:txPr>
              <a:bodyPr rot="-5400000" vert="horz"/>
              <a:lstStyle/>
              <a:p>
                <a:pPr>
                  <a:defRPr sz="900"/>
                </a:pPr>
                <a:endParaRPr lang="es-MX"/>
              </a:p>
            </c:txPr>
            <c:showVal val="1"/>
          </c:dLbls>
          <c:cat>
            <c:numRef>
              <c:f>Hoja7!$A$2:$A$14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Hoja7!$C$2:$C$14</c:f>
              <c:numCache>
                <c:formatCode>0</c:formatCode>
                <c:ptCount val="13"/>
                <c:pt idx="0">
                  <c:v>196051937.91181171</c:v>
                </c:pt>
                <c:pt idx="1">
                  <c:v>201735235.31917968</c:v>
                </c:pt>
                <c:pt idx="2">
                  <c:v>205861855.95702201</c:v>
                </c:pt>
                <c:pt idx="3">
                  <c:v>339249582.59979242</c:v>
                </c:pt>
                <c:pt idx="4">
                  <c:v>334431901.32589477</c:v>
                </c:pt>
                <c:pt idx="5">
                  <c:v>319454781.52794504</c:v>
                </c:pt>
                <c:pt idx="6">
                  <c:v>423916039.06098169</c:v>
                </c:pt>
                <c:pt idx="7">
                  <c:v>396778202.54601985</c:v>
                </c:pt>
                <c:pt idx="8">
                  <c:v>414926488.41201699</c:v>
                </c:pt>
                <c:pt idx="9">
                  <c:v>371297139.73401344</c:v>
                </c:pt>
                <c:pt idx="10">
                  <c:v>393529333.25943696</c:v>
                </c:pt>
                <c:pt idx="11">
                  <c:v>420862510.31088096</c:v>
                </c:pt>
                <c:pt idx="12">
                  <c:v>442360234.31532198</c:v>
                </c:pt>
              </c:numCache>
            </c:numRef>
          </c:val>
        </c:ser>
        <c:dLbls>
          <c:showVal val="1"/>
        </c:dLbls>
        <c:gapWidth val="50"/>
        <c:gapDepth val="50"/>
        <c:shape val="box"/>
        <c:axId val="88882560"/>
        <c:axId val="88896640"/>
        <c:axId val="0"/>
      </c:bar3DChart>
      <c:catAx>
        <c:axId val="88882560"/>
        <c:scaling>
          <c:orientation val="minMax"/>
        </c:scaling>
        <c:axPos val="b"/>
        <c:numFmt formatCode="General" sourceLinked="1"/>
        <c:majorTickMark val="none"/>
        <c:tickLblPos val="nextTo"/>
        <c:crossAx val="88896640"/>
        <c:crosses val="autoZero"/>
        <c:auto val="1"/>
        <c:lblAlgn val="ctr"/>
        <c:lblOffset val="100"/>
      </c:catAx>
      <c:valAx>
        <c:axId val="88896640"/>
        <c:scaling>
          <c:orientation val="minMax"/>
        </c:scaling>
        <c:delete val="1"/>
        <c:axPos val="l"/>
        <c:numFmt formatCode="0" sourceLinked="1"/>
        <c:tickLblPos val="none"/>
        <c:crossAx val="88882560"/>
        <c:crosses val="autoZero"/>
        <c:crossBetween val="between"/>
      </c:valAx>
    </c:plotArea>
    <c:legend>
      <c:legendPos val="t"/>
      <c:layout>
        <c:manualLayout>
          <c:xMode val="edge"/>
          <c:yMode val="edge"/>
          <c:x val="6.1877162016115227E-2"/>
          <c:y val="0.20985281535940603"/>
          <c:w val="0.22123755993139971"/>
          <c:h val="0.11448586882440662"/>
        </c:manualLayout>
      </c:layout>
    </c:legend>
    <c:plotVisOnly val="1"/>
  </c:chart>
  <c:spPr>
    <a:effectLst>
      <a:outerShdw blurRad="50800" dist="38100" dir="2700000" algn="tl" rotWithShape="0">
        <a:prstClr val="black">
          <a:alpha val="40000"/>
        </a:prstClr>
      </a:outerShdw>
    </a:effectLst>
  </c:spPr>
  <c:externalData r:id="rId1"/>
</c:chartSpace>
</file>

<file path=word/charts/chart8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INGRESOS MUNICIPALES POR TIPO. 2009</a:t>
            </a:r>
          </a:p>
          <a:p>
            <a:pPr>
              <a:defRPr sz="1200" b="0"/>
            </a:pPr>
            <a:r>
              <a:rPr lang="es-MX" sz="1200" b="0" baseline="0"/>
              <a:t>(Participación Porcentual)</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1739633883277745"/>
          <c:y val="0.29784340313710422"/>
          <c:w val="0.74397500659798366"/>
          <c:h val="0.60056266640143241"/>
        </c:manualLayout>
      </c:layout>
      <c:pie3DChart>
        <c:varyColors val="1"/>
        <c:ser>
          <c:idx val="0"/>
          <c:order val="0"/>
          <c:explosion val="25"/>
          <c:dPt>
            <c:idx val="0"/>
            <c:spPr>
              <a:solidFill>
                <a:srgbClr val="FF0000"/>
              </a:solidFill>
            </c:spPr>
          </c:dPt>
          <c:dPt>
            <c:idx val="1"/>
            <c:spPr>
              <a:solidFill>
                <a:srgbClr val="7030A0"/>
              </a:solidFill>
            </c:spPr>
          </c:dPt>
          <c:dPt>
            <c:idx val="3"/>
            <c:spPr>
              <a:solidFill>
                <a:srgbClr val="FFFF00"/>
              </a:solidFill>
            </c:spPr>
          </c:dPt>
          <c:dPt>
            <c:idx val="4"/>
            <c:spPr>
              <a:solidFill>
                <a:schemeClr val="accent6">
                  <a:lumMod val="75000"/>
                </a:schemeClr>
              </a:solidFill>
            </c:spPr>
          </c:dPt>
          <c:dPt>
            <c:idx val="5"/>
            <c:spPr>
              <a:solidFill>
                <a:srgbClr val="0070C0"/>
              </a:solidFill>
            </c:spPr>
          </c:dPt>
          <c:dPt>
            <c:idx val="6"/>
            <c:spPr>
              <a:solidFill>
                <a:srgbClr val="FFC000"/>
              </a:solidFill>
            </c:spPr>
          </c:dPt>
          <c:dPt>
            <c:idx val="7"/>
            <c:spPr>
              <a:solidFill>
                <a:srgbClr val="CC3399"/>
              </a:solidFill>
            </c:spPr>
          </c:dPt>
          <c:dLbls>
            <c:dLbl>
              <c:idx val="0"/>
              <c:tx>
                <c:rich>
                  <a:bodyPr/>
                  <a:lstStyle/>
                  <a:p>
                    <a:r>
                      <a:rPr lang="en-US" sz="900"/>
                      <a:t>Impuestos                  8.0%</a:t>
                    </a:r>
                  </a:p>
                </c:rich>
              </c:tx>
              <c:showVal val="1"/>
              <c:showCatName val="1"/>
            </c:dLbl>
            <c:dLbl>
              <c:idx val="1"/>
              <c:tx>
                <c:rich>
                  <a:bodyPr/>
                  <a:lstStyle/>
                  <a:p>
                    <a:r>
                      <a:rPr lang="en-US" sz="900"/>
                      <a:t>Derechos  5.2%</a:t>
                    </a:r>
                  </a:p>
                </c:rich>
              </c:tx>
              <c:showVal val="1"/>
              <c:showCatName val="1"/>
            </c:dLbl>
            <c:dLbl>
              <c:idx val="2"/>
              <c:tx>
                <c:rich>
                  <a:bodyPr/>
                  <a:lstStyle/>
                  <a:p>
                    <a:r>
                      <a:rPr lang="en-US" sz="900"/>
                      <a:t>Productos  0.8%</a:t>
                    </a:r>
                  </a:p>
                </c:rich>
              </c:tx>
              <c:showVal val="1"/>
              <c:showCatName val="1"/>
            </c:dLbl>
            <c:dLbl>
              <c:idx val="3"/>
              <c:tx>
                <c:rich>
                  <a:bodyPr/>
                  <a:lstStyle/>
                  <a:p>
                    <a:r>
                      <a:rPr lang="en-US" sz="900"/>
                      <a:t>Aprovechamientos</a:t>
                    </a:r>
                    <a:r>
                      <a:rPr lang="en-US" sz="900" baseline="0"/>
                      <a:t> 1.7</a:t>
                    </a:r>
                    <a:r>
                      <a:rPr lang="en-US" sz="900"/>
                      <a:t>%</a:t>
                    </a:r>
                  </a:p>
                </c:rich>
              </c:tx>
              <c:showVal val="1"/>
              <c:showCatName val="1"/>
            </c:dLbl>
            <c:dLbl>
              <c:idx val="4"/>
              <c:layout>
                <c:manualLayout>
                  <c:x val="5.8006239530882034E-2"/>
                  <c:y val="0.11575696692120459"/>
                </c:manualLayout>
              </c:layout>
              <c:tx>
                <c:rich>
                  <a:bodyPr/>
                  <a:lstStyle/>
                  <a:p>
                    <a:r>
                      <a:rPr lang="en-US" sz="900"/>
                      <a:t>Contribución de mejoras</a:t>
                    </a:r>
                    <a:r>
                      <a:rPr lang="en-US" sz="900" baseline="0"/>
                      <a:t> </a:t>
                    </a:r>
                    <a:r>
                      <a:rPr lang="en-US" sz="900"/>
                      <a:t>0.5%</a:t>
                    </a:r>
                  </a:p>
                </c:rich>
              </c:tx>
              <c:showVal val="1"/>
              <c:showCatName val="1"/>
            </c:dLbl>
            <c:dLbl>
              <c:idx val="5"/>
              <c:layout>
                <c:manualLayout>
                  <c:x val="-0.15311805508298562"/>
                  <c:y val="-0.29450515905948282"/>
                </c:manualLayout>
              </c:layout>
              <c:tx>
                <c:rich>
                  <a:bodyPr/>
                  <a:lstStyle/>
                  <a:p>
                    <a:r>
                      <a:rPr lang="en-US" sz="900"/>
                      <a:t>Participaciones federales</a:t>
                    </a:r>
                    <a:r>
                      <a:rPr lang="en-US" sz="900" baseline="0"/>
                      <a:t> 58.8</a:t>
                    </a:r>
                    <a:r>
                      <a:rPr lang="en-US" sz="900"/>
                      <a:t>%</a:t>
                    </a:r>
                  </a:p>
                </c:rich>
              </c:tx>
              <c:showVal val="1"/>
              <c:showCatName val="1"/>
            </c:dLbl>
            <c:dLbl>
              <c:idx val="6"/>
              <c:tx>
                <c:rich>
                  <a:bodyPr/>
                  <a:lstStyle/>
                  <a:p>
                    <a:r>
                      <a:rPr lang="en-US" sz="900"/>
                      <a:t>Aportaciones federales  24.6%</a:t>
                    </a:r>
                  </a:p>
                </c:rich>
              </c:tx>
              <c:showVal val="1"/>
              <c:showCatName val="1"/>
            </c:dLbl>
            <c:dLbl>
              <c:idx val="7"/>
              <c:tx>
                <c:rich>
                  <a:bodyPr/>
                  <a:lstStyle/>
                  <a:p>
                    <a:r>
                      <a:rPr lang="en-US" sz="900"/>
                      <a:t>Otros ingresos           0.8%</a:t>
                    </a:r>
                  </a:p>
                </c:rich>
              </c:tx>
              <c:showVal val="1"/>
              <c:showCatName val="1"/>
            </c:dLbl>
            <c:numFmt formatCode="0.0" sourceLinked="0"/>
            <c:txPr>
              <a:bodyPr/>
              <a:lstStyle/>
              <a:p>
                <a:pPr>
                  <a:defRPr sz="900"/>
                </a:pPr>
                <a:endParaRPr lang="es-MX"/>
              </a:p>
            </c:txPr>
            <c:showVal val="1"/>
            <c:showCatName val="1"/>
            <c:showLeaderLines val="1"/>
          </c:dLbls>
          <c:cat>
            <c:strRef>
              <c:f>'Ingresos Muncipales x tipo'!$E$1:$L$1</c:f>
              <c:strCache>
                <c:ptCount val="8"/>
                <c:pt idx="0">
                  <c:v>Impuestos                    </c:v>
                </c:pt>
                <c:pt idx="1">
                  <c:v>Derechos       </c:v>
                </c:pt>
                <c:pt idx="2">
                  <c:v>Productos      </c:v>
                </c:pt>
                <c:pt idx="3">
                  <c:v>Aprovechamientos </c:v>
                </c:pt>
                <c:pt idx="4">
                  <c:v>Contribución de mejoras </c:v>
                </c:pt>
                <c:pt idx="5">
                  <c:v>Participaciones federales</c:v>
                </c:pt>
                <c:pt idx="6">
                  <c:v>Aportaciones federales   </c:v>
                </c:pt>
                <c:pt idx="7">
                  <c:v>Otros ingresos               </c:v>
                </c:pt>
              </c:strCache>
            </c:strRef>
          </c:cat>
          <c:val>
            <c:numRef>
              <c:f>'Ingresos Muncipales x tipo'!$E$3:$L$3</c:f>
              <c:numCache>
                <c:formatCode>0.0</c:formatCode>
                <c:ptCount val="8"/>
                <c:pt idx="0">
                  <c:v>7.7162129318563881</c:v>
                </c:pt>
                <c:pt idx="1">
                  <c:v>5.1872922150296334</c:v>
                </c:pt>
                <c:pt idx="2">
                  <c:v>0.77755346889140498</c:v>
                </c:pt>
                <c:pt idx="3">
                  <c:v>1.6697526210914801</c:v>
                </c:pt>
                <c:pt idx="4">
                  <c:v>0.49020878703959875</c:v>
                </c:pt>
                <c:pt idx="5">
                  <c:v>58.753845183850594</c:v>
                </c:pt>
                <c:pt idx="6">
                  <c:v>24.62904568324003</c:v>
                </c:pt>
                <c:pt idx="7">
                  <c:v>0.77608910900078665</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a:scene3d>
      <a:camera prst="orthographicFront"/>
      <a:lightRig rig="threePt" dir="t"/>
    </a:scene3d>
    <a:sp3d/>
  </c:spPr>
  <c:externalData r:id="rId1"/>
</c:chartSpace>
</file>

<file path=word/charts/chart84.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100" b="0"/>
            </a:pPr>
            <a:r>
              <a:rPr lang="es-MX" sz="1100" b="0"/>
              <a:t>COATZACOALCOS</a:t>
            </a:r>
            <a:r>
              <a:rPr lang="es-MX" sz="1100" b="0" baseline="0"/>
              <a:t>. INGRESOS MUNICIPALES POR TIPO. 1997-2007</a:t>
            </a:r>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20599151274315008"/>
          <c:y val="0.16106543686006469"/>
          <c:w val="0.74500846272720578"/>
          <c:h val="0.64895554326162264"/>
        </c:manualLayout>
      </c:layout>
      <c:lineChart>
        <c:grouping val="standard"/>
        <c:ser>
          <c:idx val="0"/>
          <c:order val="0"/>
          <c:tx>
            <c:strRef>
              <c:f>'Ingresos Mun. x Tipo'!$B$1</c:f>
              <c:strCache>
                <c:ptCount val="1"/>
                <c:pt idx="0">
                  <c:v>Impuestos                    </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'Ingresos Mun. x Tipo'!$A$2:$A$14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'Ingresos Mun. x Tipo'!$B$2:$B$14</c:f>
              <c:numCache>
                <c:formatCode>#,##0</c:formatCode>
                <c:ptCount val="13"/>
                <c:pt idx="0">
                  <c:v>12476128</c:v>
                </c:pt>
                <c:pt idx="1">
                  <c:v>12332789</c:v>
                </c:pt>
                <c:pt idx="2">
                  <c:v>13907182</c:v>
                </c:pt>
                <c:pt idx="3">
                  <c:v>15961058</c:v>
                </c:pt>
                <c:pt idx="4">
                  <c:v>27125325</c:v>
                </c:pt>
                <c:pt idx="5">
                  <c:v>255120816</c:v>
                </c:pt>
                <c:pt idx="6">
                  <c:v>30693140</c:v>
                </c:pt>
                <c:pt idx="7">
                  <c:v>129223850</c:v>
                </c:pt>
                <c:pt idx="8">
                  <c:v>59754009</c:v>
                </c:pt>
                <c:pt idx="9">
                  <c:v>61000000</c:v>
                </c:pt>
                <c:pt idx="10">
                  <c:v>47730950.040000007</c:v>
                </c:pt>
                <c:pt idx="11">
                  <c:v>50276611.410000004</c:v>
                </c:pt>
                <c:pt idx="12">
                  <c:v>55304272.550000004</c:v>
                </c:pt>
              </c:numCache>
            </c:numRef>
          </c:val>
          <c:smooth val="1"/>
        </c:ser>
        <c:ser>
          <c:idx val="1"/>
          <c:order val="1"/>
          <c:tx>
            <c:strRef>
              <c:f>'Ingresos Mun. x Tipo'!$C$1</c:f>
              <c:strCache>
                <c:ptCount val="1"/>
                <c:pt idx="0">
                  <c:v>Derechos       </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'Ingresos Mun. x Tipo'!$A$2:$A$14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'Ingresos Mun. x Tipo'!$C$2:$C$14</c:f>
              <c:numCache>
                <c:formatCode>#,##0</c:formatCode>
                <c:ptCount val="13"/>
                <c:pt idx="0">
                  <c:v>2447729</c:v>
                </c:pt>
                <c:pt idx="1">
                  <c:v>2901312</c:v>
                </c:pt>
                <c:pt idx="2">
                  <c:v>2859944</c:v>
                </c:pt>
                <c:pt idx="3">
                  <c:v>3165119</c:v>
                </c:pt>
                <c:pt idx="4">
                  <c:v>3265191</c:v>
                </c:pt>
                <c:pt idx="5">
                  <c:v>3708403</c:v>
                </c:pt>
                <c:pt idx="6">
                  <c:v>13013056</c:v>
                </c:pt>
                <c:pt idx="7">
                  <c:v>19700999</c:v>
                </c:pt>
                <c:pt idx="8">
                  <c:v>23968426</c:v>
                </c:pt>
                <c:pt idx="9">
                  <c:v>27200000</c:v>
                </c:pt>
                <c:pt idx="10">
                  <c:v>26733679.77</c:v>
                </c:pt>
                <c:pt idx="11">
                  <c:v>33798895.550000004</c:v>
                </c:pt>
                <c:pt idx="12">
                  <c:v>37178785.110000007</c:v>
                </c:pt>
              </c:numCache>
            </c:numRef>
          </c:val>
          <c:smooth val="1"/>
        </c:ser>
        <c:ser>
          <c:idx val="2"/>
          <c:order val="2"/>
          <c:tx>
            <c:strRef>
              <c:f>'Ingresos Mun. x Tipo'!$D$1</c:f>
              <c:strCache>
                <c:ptCount val="1"/>
                <c:pt idx="0">
                  <c:v>Productos      </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'Ingresos Mun. x Tipo'!$A$2:$A$14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'Ingresos Mun. x Tipo'!$D$2:$D$14</c:f>
              <c:numCache>
                <c:formatCode>#,##0</c:formatCode>
                <c:ptCount val="13"/>
                <c:pt idx="0">
                  <c:v>644584</c:v>
                </c:pt>
                <c:pt idx="1">
                  <c:v>600244</c:v>
                </c:pt>
                <c:pt idx="2">
                  <c:v>554608</c:v>
                </c:pt>
                <c:pt idx="3">
                  <c:v>414083</c:v>
                </c:pt>
                <c:pt idx="4">
                  <c:v>3927851</c:v>
                </c:pt>
                <c:pt idx="5">
                  <c:v>8133979</c:v>
                </c:pt>
                <c:pt idx="6">
                  <c:v>2549537</c:v>
                </c:pt>
                <c:pt idx="7">
                  <c:v>4612917</c:v>
                </c:pt>
                <c:pt idx="8">
                  <c:v>8052315</c:v>
                </c:pt>
                <c:pt idx="9">
                  <c:v>8200000</c:v>
                </c:pt>
                <c:pt idx="10">
                  <c:v>4458134.71</c:v>
                </c:pt>
                <c:pt idx="11">
                  <c:v>5066313.4800000004</c:v>
                </c:pt>
                <c:pt idx="12">
                  <c:v>5572944.8300000001</c:v>
                </c:pt>
              </c:numCache>
            </c:numRef>
          </c:val>
          <c:smooth val="1"/>
        </c:ser>
        <c:ser>
          <c:idx val="3"/>
          <c:order val="3"/>
          <c:tx>
            <c:strRef>
              <c:f>'Ingresos Mun. x Tipo'!$E$1</c:f>
              <c:strCache>
                <c:ptCount val="1"/>
                <c:pt idx="0">
                  <c:v>Aprovechamientos </c:v>
                </c:pt>
              </c:strCache>
            </c:strRef>
          </c:tx>
          <c:spPr>
            <a:ln w="63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'Ingresos Mun. x Tipo'!$A$2:$A$14</c:f>
              <c:numCache>
                <c:formatCode>General</c:formatCode>
                <c:ptCount val="13"/>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numCache>
            </c:numRef>
          </c:cat>
          <c:val>
            <c:numRef>
              <c:f>'Ingresos Mun. x Tipo'!$E$2:$E$14</c:f>
              <c:numCache>
                <c:formatCode>#,##0</c:formatCode>
                <c:ptCount val="13"/>
                <c:pt idx="0">
                  <c:v>8820850</c:v>
                </c:pt>
                <c:pt idx="1">
                  <c:v>11014728</c:v>
                </c:pt>
                <c:pt idx="2">
                  <c:v>15721810</c:v>
                </c:pt>
                <c:pt idx="3">
                  <c:v>14712782</c:v>
                </c:pt>
                <c:pt idx="4">
                  <c:v>21319732</c:v>
                </c:pt>
                <c:pt idx="5">
                  <c:v>20714733</c:v>
                </c:pt>
                <c:pt idx="6">
                  <c:v>16624574</c:v>
                </c:pt>
                <c:pt idx="7">
                  <c:v>8473523</c:v>
                </c:pt>
                <c:pt idx="8">
                  <c:v>26414676</c:v>
                </c:pt>
                <c:pt idx="9">
                  <c:v>20800000</c:v>
                </c:pt>
                <c:pt idx="10">
                  <c:v>11102706.119999981</c:v>
                </c:pt>
                <c:pt idx="11">
                  <c:v>10879625.07</c:v>
                </c:pt>
                <c:pt idx="12">
                  <c:v>11967587.58</c:v>
                </c:pt>
              </c:numCache>
            </c:numRef>
          </c:val>
          <c:smooth val="1"/>
        </c:ser>
        <c:marker val="1"/>
        <c:axId val="88353024"/>
        <c:axId val="88363392"/>
      </c:lineChart>
      <c:catAx>
        <c:axId val="88353024"/>
        <c:scaling>
          <c:orientation val="minMax"/>
        </c:scaling>
        <c:axPos val="b"/>
        <c:numFmt formatCode="General" sourceLinked="1"/>
        <c:majorTickMark val="none"/>
        <c:tickLblPos val="nextTo"/>
        <c:crossAx val="88363392"/>
        <c:crosses val="autoZero"/>
        <c:auto val="1"/>
        <c:lblAlgn val="ctr"/>
        <c:lblOffset val="100"/>
      </c:catAx>
      <c:valAx>
        <c:axId val="88363392"/>
        <c:scaling>
          <c:orientation val="minMax"/>
        </c:scaling>
        <c:axPos val="l"/>
        <c:numFmt formatCode="#,##0" sourceLinked="0"/>
        <c:majorTickMark val="none"/>
        <c:tickLblPos val="nextTo"/>
        <c:crossAx val="88353024"/>
        <c:crosses val="autoZero"/>
        <c:crossBetween val="between"/>
      </c:valAx>
    </c:plotArea>
    <c:legend>
      <c:legendPos val="r"/>
      <c:layout>
        <c:manualLayout>
          <c:xMode val="edge"/>
          <c:yMode val="edge"/>
          <c:x val="0.24339352907989309"/>
          <c:y val="0.22687435809654227"/>
          <c:w val="0.26795123506757917"/>
          <c:h val="0.22404525521266391"/>
        </c:manualLayout>
      </c:layout>
    </c:legend>
    <c:plotVisOnly val="1"/>
  </c:chart>
  <c:spPr>
    <a:effectLst>
      <a:outerShdw blurRad="50800" dist="38100" dir="2700000" algn="tl" rotWithShape="0">
        <a:prstClr val="black">
          <a:alpha val="40000"/>
        </a:prstClr>
      </a:outerShdw>
    </a:effectLst>
  </c:spPr>
  <c:externalData r:id="rId1"/>
</c:chartSpace>
</file>

<file path=word/charts/chart85.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900" b="0"/>
            </a:pPr>
            <a:r>
              <a:rPr lang="es-MX" sz="900" b="0"/>
              <a:t>COATZACOALCOS.</a:t>
            </a:r>
            <a:r>
              <a:rPr lang="es-MX" sz="900" b="0" baseline="0"/>
              <a:t> PARTICIPACIÓN % DE LOS IMPUESTOS,DERECHOS, PRODUCTOS Y APROVECHAMIENTOS EN LOS INGRESOS MUNICIPALES TOTALES. 1990-2009</a:t>
            </a:r>
            <a:endParaRPr lang="es-MX" sz="9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3.9769202403418615E-2"/>
          <c:y val="0.15382513911800441"/>
          <c:w val="0.92169657422512263"/>
          <c:h val="0.63783688700618302"/>
        </c:manualLayout>
      </c:layout>
      <c:lineChart>
        <c:grouping val="standard"/>
        <c:ser>
          <c:idx val="0"/>
          <c:order val="0"/>
          <c:tx>
            <c:strRef>
              <c:f>'Part. % de los imp,prd,der y ap'!$B$1</c:f>
              <c:strCache>
                <c:ptCount val="1"/>
                <c:pt idx="0">
                  <c:v>Impuestos                    </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delete val="1"/>
            </c:dLbl>
            <c:dLbl>
              <c:idx val="12"/>
              <c:delete val="1"/>
            </c:dLbl>
            <c:dLbl>
              <c:idx val="13"/>
              <c:delete val="1"/>
            </c:dLbl>
            <c:dLbl>
              <c:idx val="14"/>
              <c:delete val="1"/>
            </c:dLbl>
            <c:dLbl>
              <c:idx val="15"/>
              <c:delete val="1"/>
            </c:dLbl>
            <c:dLbl>
              <c:idx val="16"/>
              <c:delete val="1"/>
            </c:dLbl>
            <c:dLbl>
              <c:idx val="17"/>
              <c:delete val="1"/>
            </c:dLbl>
            <c:dLbl>
              <c:idx val="18"/>
              <c:delete val="1"/>
            </c:dLbl>
            <c:txPr>
              <a:bodyPr/>
              <a:lstStyle/>
              <a:p>
                <a:pPr>
                  <a:defRPr sz="800"/>
                </a:pPr>
                <a:endParaRPr lang="es-MX"/>
              </a:p>
            </c:txPr>
            <c:showVal val="1"/>
          </c:dLbls>
          <c:cat>
            <c:numRef>
              <c:f>'Part. % de los imp,prd,der y ap'!$A$2:$A$21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'Part. % de los imp,prd,der y ap'!$B$2:$B$21</c:f>
              <c:numCache>
                <c:formatCode>0.0</c:formatCode>
                <c:ptCount val="20"/>
                <c:pt idx="0">
                  <c:v>8.9698830314485747</c:v>
                </c:pt>
                <c:pt idx="1">
                  <c:v>9.2730565300204528</c:v>
                </c:pt>
                <c:pt idx="2">
                  <c:v>10.262555613591887</c:v>
                </c:pt>
                <c:pt idx="3">
                  <c:v>12.051540758142755</c:v>
                </c:pt>
                <c:pt idx="4">
                  <c:v>18.868926349107088</c:v>
                </c:pt>
                <c:pt idx="5">
                  <c:v>7.138258483951053</c:v>
                </c:pt>
                <c:pt idx="6">
                  <c:v>6.9357726364215404</c:v>
                </c:pt>
                <c:pt idx="7">
                  <c:v>6.5474322012112065</c:v>
                </c:pt>
                <c:pt idx="8">
                  <c:v>6.9195425222700964</c:v>
                </c:pt>
                <c:pt idx="9">
                  <c:v>5.4787343642377166</c:v>
                </c:pt>
                <c:pt idx="10">
                  <c:v>4.2257655253150475</c:v>
                </c:pt>
                <c:pt idx="11">
                  <c:v>6.0328523741569455</c:v>
                </c:pt>
                <c:pt idx="12">
                  <c:v>37.935252207997252</c:v>
                </c:pt>
                <c:pt idx="13">
                  <c:v>4.4959436418625884</c:v>
                </c:pt>
                <c:pt idx="14">
                  <c:v>19.082998819305189</c:v>
                </c:pt>
                <c:pt idx="15">
                  <c:v>9.3776050092255411E-2</c:v>
                </c:pt>
                <c:pt idx="16">
                  <c:v>10.482900842069126</c:v>
                </c:pt>
                <c:pt idx="17">
                  <c:v>8.0019052920066844</c:v>
                </c:pt>
                <c:pt idx="18">
                  <c:v>7.4279459635492655</c:v>
                </c:pt>
                <c:pt idx="19">
                  <c:v>7.7162129264734469</c:v>
                </c:pt>
              </c:numCache>
            </c:numRef>
          </c:val>
          <c:smooth val="1"/>
        </c:ser>
        <c:ser>
          <c:idx val="1"/>
          <c:order val="1"/>
          <c:tx>
            <c:strRef>
              <c:f>'Part. % de los imp,prd,der y ap'!$C$1</c:f>
              <c:strCache>
                <c:ptCount val="1"/>
                <c:pt idx="0">
                  <c:v>Derechos       </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5.0667992368047192E-2"/>
                  <c:y val="-1.6634870761438023E-2"/>
                </c:manualLayout>
              </c:layout>
              <c:showVal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delete val="1"/>
            </c:dLbl>
            <c:dLbl>
              <c:idx val="12"/>
              <c:delete val="1"/>
            </c:dLbl>
            <c:dLbl>
              <c:idx val="13"/>
              <c:delete val="1"/>
            </c:dLbl>
            <c:dLbl>
              <c:idx val="14"/>
              <c:delete val="1"/>
            </c:dLbl>
            <c:dLbl>
              <c:idx val="15"/>
              <c:delete val="1"/>
            </c:dLbl>
            <c:dLbl>
              <c:idx val="16"/>
              <c:delete val="1"/>
            </c:dLbl>
            <c:dLbl>
              <c:idx val="17"/>
              <c:delete val="1"/>
            </c:dLbl>
            <c:dLbl>
              <c:idx val="18"/>
              <c:delete val="1"/>
            </c:dLbl>
            <c:txPr>
              <a:bodyPr/>
              <a:lstStyle/>
              <a:p>
                <a:pPr>
                  <a:defRPr sz="800"/>
                </a:pPr>
                <a:endParaRPr lang="es-MX"/>
              </a:p>
            </c:txPr>
            <c:showVal val="1"/>
          </c:dLbls>
          <c:cat>
            <c:numRef>
              <c:f>'Part. % de los imp,prd,der y ap'!$A$2:$A$21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'Part. % de los imp,prd,der y ap'!$C$2:$C$21</c:f>
              <c:numCache>
                <c:formatCode>0.0</c:formatCode>
                <c:ptCount val="20"/>
                <c:pt idx="0">
                  <c:v>9.0318459766986976</c:v>
                </c:pt>
                <c:pt idx="1">
                  <c:v>9.7619835617097497</c:v>
                </c:pt>
                <c:pt idx="2">
                  <c:v>9.99764740044413</c:v>
                </c:pt>
                <c:pt idx="3">
                  <c:v>7.3465207253629803</c:v>
                </c:pt>
                <c:pt idx="4">
                  <c:v>1.6449516055333007</c:v>
                </c:pt>
                <c:pt idx="5">
                  <c:v>0.71494674686595017</c:v>
                </c:pt>
                <c:pt idx="6">
                  <c:v>0.91871467082675939</c:v>
                </c:pt>
                <c:pt idx="7">
                  <c:v>1.2845603759787121</c:v>
                </c:pt>
                <c:pt idx="8">
                  <c:v>1.6278355004997243</c:v>
                </c:pt>
                <c:pt idx="9">
                  <c:v>1.1266749419541267</c:v>
                </c:pt>
                <c:pt idx="10">
                  <c:v>0.83798021119400445</c:v>
                </c:pt>
                <c:pt idx="11">
                  <c:v>0.72620015710137864</c:v>
                </c:pt>
                <c:pt idx="12">
                  <c:v>0.55142189218261861</c:v>
                </c:pt>
                <c:pt idx="13">
                  <c:v>1.9061577402768997</c:v>
                </c:pt>
                <c:pt idx="14">
                  <c:v>2.9093247156476076</c:v>
                </c:pt>
                <c:pt idx="15">
                  <c:v>3.7615288996065296E-2</c:v>
                </c:pt>
                <c:pt idx="16">
                  <c:v>4.6743426705619475</c:v>
                </c:pt>
                <c:pt idx="17">
                  <c:v>4.4817958462402956</c:v>
                </c:pt>
                <c:pt idx="18">
                  <c:v>4.9935022017635724</c:v>
                </c:pt>
                <c:pt idx="19">
                  <c:v>5.187292211410897</c:v>
                </c:pt>
              </c:numCache>
            </c:numRef>
          </c:val>
          <c:smooth val="1"/>
        </c:ser>
        <c:ser>
          <c:idx val="2"/>
          <c:order val="2"/>
          <c:tx>
            <c:strRef>
              <c:f>'Part. % de los imp,prd,der y ap'!$D$1</c:f>
              <c:strCache>
                <c:ptCount val="1"/>
                <c:pt idx="0">
                  <c:v>Productos      </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5.4377663765712424E-2"/>
                  <c:y val="1.7755807447841394E-2"/>
                </c:manualLayout>
              </c:layout>
              <c:showVal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delete val="1"/>
            </c:dLbl>
            <c:dLbl>
              <c:idx val="12"/>
              <c:delete val="1"/>
            </c:dLbl>
            <c:dLbl>
              <c:idx val="13"/>
              <c:delete val="1"/>
            </c:dLbl>
            <c:dLbl>
              <c:idx val="14"/>
              <c:delete val="1"/>
            </c:dLbl>
            <c:dLbl>
              <c:idx val="15"/>
              <c:delete val="1"/>
            </c:dLbl>
            <c:dLbl>
              <c:idx val="16"/>
              <c:delete val="1"/>
            </c:dLbl>
            <c:dLbl>
              <c:idx val="17"/>
              <c:delete val="1"/>
            </c:dLbl>
            <c:dLbl>
              <c:idx val="18"/>
              <c:delete val="1"/>
            </c:dLbl>
            <c:dLbl>
              <c:idx val="19"/>
              <c:layout>
                <c:manualLayout>
                  <c:x val="0"/>
                  <c:y val="1.0610079575596816E-2"/>
                </c:manualLayout>
              </c:layout>
              <c:showVal val="1"/>
            </c:dLbl>
            <c:txPr>
              <a:bodyPr/>
              <a:lstStyle/>
              <a:p>
                <a:pPr>
                  <a:defRPr sz="800"/>
                </a:pPr>
                <a:endParaRPr lang="es-MX"/>
              </a:p>
            </c:txPr>
            <c:showVal val="1"/>
          </c:dLbls>
          <c:cat>
            <c:numRef>
              <c:f>'Part. % de los imp,prd,der y ap'!$A$2:$A$21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'Part. % de los imp,prd,der y ap'!$D$2:$D$21</c:f>
              <c:numCache>
                <c:formatCode>0.0</c:formatCode>
                <c:ptCount val="20"/>
                <c:pt idx="0">
                  <c:v>8.6182591856739439</c:v>
                </c:pt>
                <c:pt idx="1">
                  <c:v>8.9188356912775451</c:v>
                </c:pt>
                <c:pt idx="2">
                  <c:v>7.1905730751085875</c:v>
                </c:pt>
                <c:pt idx="3">
                  <c:v>4.5238744284586208</c:v>
                </c:pt>
                <c:pt idx="4">
                  <c:v>1.0060869093007703</c:v>
                </c:pt>
                <c:pt idx="5">
                  <c:v>0.74887384656116085</c:v>
                </c:pt>
                <c:pt idx="6">
                  <c:v>0.26972282440808193</c:v>
                </c:pt>
                <c:pt idx="7">
                  <c:v>0.33827562830275554</c:v>
                </c:pt>
                <c:pt idx="8">
                  <c:v>0.33677815145767576</c:v>
                </c:pt>
                <c:pt idx="9">
                  <c:v>0.21848782221165669</c:v>
                </c:pt>
                <c:pt idx="10">
                  <c:v>0.10963043089117469</c:v>
                </c:pt>
                <c:pt idx="11">
                  <c:v>0.87358014072401957</c:v>
                </c:pt>
                <c:pt idx="12">
                  <c:v>1.2094839992184458</c:v>
                </c:pt>
                <c:pt idx="13">
                  <c:v>0.37345721763376138</c:v>
                </c:pt>
                <c:pt idx="14">
                  <c:v>0.68120776206987665</c:v>
                </c:pt>
                <c:pt idx="15">
                  <c:v>1.2637048248906733E-2</c:v>
                </c:pt>
                <c:pt idx="16">
                  <c:v>1.4091768345076472</c:v>
                </c:pt>
                <c:pt idx="17">
                  <c:v>0.74738867964145161</c:v>
                </c:pt>
                <c:pt idx="18">
                  <c:v>0.74850515395626427</c:v>
                </c:pt>
                <c:pt idx="19">
                  <c:v>0.77755346834897265</c:v>
                </c:pt>
              </c:numCache>
            </c:numRef>
          </c:val>
          <c:smooth val="1"/>
        </c:ser>
        <c:ser>
          <c:idx val="3"/>
          <c:order val="3"/>
          <c:tx>
            <c:strRef>
              <c:f>'Part. % de los imp,prd,der y ap'!$E$1</c:f>
              <c:strCache>
                <c:ptCount val="1"/>
                <c:pt idx="0">
                  <c:v>Aprovechamientos </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3.8733142993006682E-2"/>
                  <c:y val="2.7400710952946852E-2"/>
                </c:manualLayout>
              </c:layout>
              <c:showVal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delete val="1"/>
            </c:dLbl>
            <c:dLbl>
              <c:idx val="12"/>
              <c:delete val="1"/>
            </c:dLbl>
            <c:dLbl>
              <c:idx val="13"/>
              <c:delete val="1"/>
            </c:dLbl>
            <c:dLbl>
              <c:idx val="14"/>
              <c:delete val="1"/>
            </c:dLbl>
            <c:dLbl>
              <c:idx val="15"/>
              <c:delete val="1"/>
            </c:dLbl>
            <c:dLbl>
              <c:idx val="16"/>
              <c:delete val="1"/>
            </c:dLbl>
            <c:dLbl>
              <c:idx val="17"/>
              <c:delete val="1"/>
            </c:dLbl>
            <c:dLbl>
              <c:idx val="18"/>
              <c:delete val="1"/>
            </c:dLbl>
            <c:dLbl>
              <c:idx val="19"/>
              <c:layout>
                <c:manualLayout>
                  <c:x val="-4.5121263395375075E-3"/>
                  <c:y val="-1.0610079575596816E-2"/>
                </c:manualLayout>
              </c:layout>
              <c:showVal val="1"/>
            </c:dLbl>
            <c:txPr>
              <a:bodyPr/>
              <a:lstStyle/>
              <a:p>
                <a:pPr>
                  <a:defRPr sz="800"/>
                </a:pPr>
                <a:endParaRPr lang="es-MX"/>
              </a:p>
            </c:txPr>
            <c:showVal val="1"/>
          </c:dLbls>
          <c:cat>
            <c:numRef>
              <c:f>'Part. % de los imp,prd,der y ap'!$A$2:$A$21</c:f>
              <c:numCache>
                <c:formatCode>General</c:formatCode>
                <c:ptCount val="2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numCache>
            </c:numRef>
          </c:cat>
          <c:val>
            <c:numRef>
              <c:f>'Part. % de los imp,prd,der y ap'!$E$2:$E$21</c:f>
              <c:numCache>
                <c:formatCode>0.0</c:formatCode>
                <c:ptCount val="20"/>
                <c:pt idx="0">
                  <c:v>7.2684877197471796</c:v>
                </c:pt>
                <c:pt idx="1">
                  <c:v>7.7588225903868633</c:v>
                </c:pt>
                <c:pt idx="2">
                  <c:v>8.1690515614412202</c:v>
                </c:pt>
                <c:pt idx="3">
                  <c:v>7.1031607672797206</c:v>
                </c:pt>
                <c:pt idx="4">
                  <c:v>15.977811430216081</c:v>
                </c:pt>
                <c:pt idx="5">
                  <c:v>13.970846783364626</c:v>
                </c:pt>
                <c:pt idx="6">
                  <c:v>5.4300387145834534</c:v>
                </c:pt>
                <c:pt idx="7">
                  <c:v>4.6291539596302345</c:v>
                </c:pt>
                <c:pt idx="8">
                  <c:v>6.180019683077286</c:v>
                </c:pt>
                <c:pt idx="9">
                  <c:v>6.1936070668389656</c:v>
                </c:pt>
                <c:pt idx="10">
                  <c:v>3.8952785559125078</c:v>
                </c:pt>
                <c:pt idx="11">
                  <c:v>4.7416499456722772</c:v>
                </c:pt>
                <c:pt idx="12">
                  <c:v>3.0801822959688385</c:v>
                </c:pt>
                <c:pt idx="13">
                  <c:v>2.435174367105291</c:v>
                </c:pt>
                <c:pt idx="14">
                  <c:v>1.2513187728453838</c:v>
                </c:pt>
                <c:pt idx="15">
                  <c:v>4.1454356305141882E-2</c:v>
                </c:pt>
                <c:pt idx="16">
                  <c:v>3.5744973363120809</c:v>
                </c:pt>
                <c:pt idx="17">
                  <c:v>1.8613248381347938</c:v>
                </c:pt>
                <c:pt idx="18">
                  <c:v>1.607372988298936</c:v>
                </c:pt>
                <c:pt idx="19">
                  <c:v>1.6697526199266381</c:v>
                </c:pt>
              </c:numCache>
            </c:numRef>
          </c:val>
          <c:smooth val="1"/>
        </c:ser>
        <c:dLbls>
          <c:showVal val="1"/>
        </c:dLbls>
        <c:marker val="1"/>
        <c:axId val="90760320"/>
        <c:axId val="90761856"/>
      </c:lineChart>
      <c:catAx>
        <c:axId val="90760320"/>
        <c:scaling>
          <c:orientation val="minMax"/>
        </c:scaling>
        <c:axPos val="b"/>
        <c:numFmt formatCode="General" sourceLinked="1"/>
        <c:majorTickMark val="none"/>
        <c:tickLblPos val="nextTo"/>
        <c:txPr>
          <a:bodyPr rot="-5400000" vert="horz"/>
          <a:lstStyle/>
          <a:p>
            <a:pPr>
              <a:defRPr sz="900"/>
            </a:pPr>
            <a:endParaRPr lang="es-MX"/>
          </a:p>
        </c:txPr>
        <c:crossAx val="90761856"/>
        <c:crosses val="autoZero"/>
        <c:auto val="1"/>
        <c:lblAlgn val="ctr"/>
        <c:lblOffset val="100"/>
      </c:catAx>
      <c:valAx>
        <c:axId val="90761856"/>
        <c:scaling>
          <c:orientation val="minMax"/>
        </c:scaling>
        <c:delete val="1"/>
        <c:axPos val="l"/>
        <c:numFmt formatCode="0.0" sourceLinked="1"/>
        <c:tickLblPos val="none"/>
        <c:crossAx val="90760320"/>
        <c:crosses val="autoZero"/>
        <c:crossBetween val="between"/>
      </c:valAx>
    </c:plotArea>
    <c:legend>
      <c:legendPos val="t"/>
      <c:layout>
        <c:manualLayout>
          <c:xMode val="edge"/>
          <c:yMode val="edge"/>
          <c:x val="5.5089058524173007E-2"/>
          <c:y val="0.25064211235890593"/>
          <c:w val="0.26052193720483691"/>
          <c:h val="0.19025293626006246"/>
        </c:manualLayout>
      </c:layout>
    </c:legend>
    <c:plotVisOnly val="1"/>
  </c:chart>
  <c:spPr>
    <a:effectLst>
      <a:outerShdw blurRad="50800" dist="38100" dir="2700000" algn="tl" rotWithShape="0">
        <a:prstClr val="black">
          <a:alpha val="40000"/>
        </a:prstClr>
      </a:outerShdw>
    </a:effectLst>
    <a:scene3d>
      <a:camera prst="orthographicFront"/>
      <a:lightRig rig="threePt" dir="t"/>
    </a:scene3d>
    <a:sp3d/>
  </c:spPr>
  <c:externalData r:id="rId1"/>
</c:chartSpace>
</file>

<file path=word/charts/chart86.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IMPUESTOS MUNICIPALES.2009</a:t>
            </a:r>
          </a:p>
          <a:p>
            <a:pPr>
              <a:defRPr sz="1200" b="0"/>
            </a:pPr>
            <a:r>
              <a:rPr lang="es-MX" sz="1200" b="0" baseline="0"/>
              <a:t>(Participación porcentual en el total)</a:t>
            </a:r>
            <a:endParaRPr lang="es-MX" sz="1200" b="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6946898369563132"/>
          <c:y val="0.30933394069867232"/>
          <c:w val="0.69757040643892165"/>
          <c:h val="0.55681369616032061"/>
        </c:manualLayout>
      </c:layout>
      <c:pie3DChart>
        <c:varyColors val="1"/>
        <c:ser>
          <c:idx val="0"/>
          <c:order val="0"/>
          <c:explosion val="25"/>
          <c:dPt>
            <c:idx val="0"/>
            <c:spPr>
              <a:solidFill>
                <a:srgbClr val="0033CC"/>
              </a:solidFill>
            </c:spPr>
          </c:dPt>
          <c:dPt>
            <c:idx val="1"/>
            <c:spPr>
              <a:solidFill>
                <a:srgbClr val="FFC000"/>
              </a:solidFill>
            </c:spPr>
          </c:dPt>
          <c:dPt>
            <c:idx val="2"/>
            <c:spPr>
              <a:solidFill>
                <a:srgbClr val="00B050"/>
              </a:solidFill>
            </c:spPr>
          </c:dPt>
          <c:dLbls>
            <c:dLbl>
              <c:idx val="0"/>
              <c:layout>
                <c:manualLayout>
                  <c:x val="-0.2288863892013499"/>
                  <c:y val="-7.9675146989604886E-2"/>
                </c:manualLayout>
              </c:layout>
              <c:showCatName val="1"/>
              <c:showPercent val="1"/>
            </c:dLbl>
            <c:dLbl>
              <c:idx val="1"/>
              <c:layout>
                <c:manualLayout>
                  <c:x val="-2.4777724702220442E-4"/>
                  <c:y val="3.486585453414068E-3"/>
                </c:manualLayout>
              </c:layout>
              <c:showCatName val="1"/>
              <c:showPercent val="1"/>
            </c:dLbl>
            <c:dLbl>
              <c:idx val="2"/>
              <c:layout>
                <c:manualLayout>
                  <c:x val="-1.0118392735154504E-2"/>
                  <c:y val="-6.0848032293835633E-2"/>
                </c:manualLayout>
              </c:layout>
              <c:showCatName val="1"/>
              <c:showPercent val="1"/>
            </c:dLbl>
            <c:dLbl>
              <c:idx val="4"/>
              <c:layout>
                <c:manualLayout>
                  <c:x val="0.18944501800288951"/>
                  <c:y val="3.7423832659216207E-2"/>
                </c:manualLayout>
              </c:layout>
              <c:showCatName val="1"/>
              <c:showPercent val="1"/>
            </c:dLbl>
            <c:txPr>
              <a:bodyPr/>
              <a:lstStyle/>
              <a:p>
                <a:pPr>
                  <a:defRPr sz="800"/>
                </a:pPr>
                <a:endParaRPr lang="es-MX"/>
              </a:p>
            </c:txPr>
            <c:showCatName val="1"/>
            <c:showPercent val="1"/>
            <c:showLeaderLines val="1"/>
          </c:dLbls>
          <c:cat>
            <c:strRef>
              <c:f>Hoja2!$A$2:$A$6</c:f>
              <c:strCache>
                <c:ptCount val="5"/>
                <c:pt idx="0">
                  <c:v>Predial</c:v>
                </c:pt>
                <c:pt idx="1">
                  <c:v>Contribución adicional sobre ingresos municipales</c:v>
                </c:pt>
                <c:pt idx="2">
                  <c:v>Sobre traslación de dominio de bienes inmuebles</c:v>
                </c:pt>
                <c:pt idx="3">
                  <c:v>Sobre espectaculos públicos</c:v>
                </c:pt>
                <c:pt idx="4">
                  <c:v>Sobre juegos permitidos</c:v>
                </c:pt>
              </c:strCache>
            </c:strRef>
          </c:cat>
          <c:val>
            <c:numRef>
              <c:f>Hoja2!$C$2:$C$6</c:f>
              <c:numCache>
                <c:formatCode>0.0</c:formatCode>
                <c:ptCount val="5"/>
                <c:pt idx="0">
                  <c:v>58.645425361444325</c:v>
                </c:pt>
                <c:pt idx="1">
                  <c:v>10.995645688137722</c:v>
                </c:pt>
                <c:pt idx="2">
                  <c:v>29.333169865553181</c:v>
                </c:pt>
                <c:pt idx="4" formatCode="0">
                  <c:v>1</c:v>
                </c:pt>
              </c:numCache>
            </c:numRef>
          </c:val>
        </c:ser>
        <c:dLbls>
          <c:showCatName val="1"/>
          <c:showPercent val="1"/>
        </c:dLbls>
      </c:pie3DChart>
    </c:plotArea>
    <c:plotVisOnly val="1"/>
  </c:chart>
  <c:spPr>
    <a:scene3d>
      <a:camera prst="orthographicFront"/>
      <a:lightRig rig="threePt" dir="t"/>
    </a:scene3d>
    <a:sp3d/>
  </c:spPr>
  <c:externalData r:id="rId1"/>
</c:chartSpace>
</file>

<file path=word/charts/chart87.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a:t>
            </a:r>
            <a:r>
              <a:rPr lang="es-MX" sz="1200" baseline="0"/>
              <a:t> DERECHOS MUNICIPALES. 2009</a:t>
            </a:r>
          </a:p>
          <a:p>
            <a:pPr>
              <a:defRPr sz="1200"/>
            </a:pPr>
            <a:r>
              <a:rPr lang="es-MX" sz="1200" baseline="0"/>
              <a:t>(Participación porcentual)</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floor>
      <c:spPr>
        <a:noFill/>
        <a:ln w="9525">
          <a:noFill/>
        </a:ln>
      </c:spPr>
    </c:floor>
    <c:backWall>
      <c:spPr>
        <a:noFill/>
        <a:ln w="25400">
          <a:noFill/>
        </a:ln>
      </c:spPr>
    </c:backWall>
    <c:plotArea>
      <c:layout/>
      <c:bar3DChart>
        <c:barDir val="bar"/>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numFmt formatCode="#,##0.0" sourceLinked="0"/>
            <c:showVal val="1"/>
          </c:dLbls>
          <c:cat>
            <c:strRef>
              <c:f>Hoja1!$E$2:$E$10</c:f>
              <c:strCache>
                <c:ptCount val="9"/>
                <c:pt idx="0">
                  <c:v>Por servicios de ratstro o lugares autorizados</c:v>
                </c:pt>
                <c:pt idx="1">
                  <c:v>Por servicio de panteones</c:v>
                </c:pt>
                <c:pt idx="2">
                  <c:v>Por servicio de recolección, transporte y disposición final de derechos sólidos</c:v>
                </c:pt>
                <c:pt idx="3">
                  <c:v>Por ocupación de inmuebles de dominio público</c:v>
                </c:pt>
                <c:pt idx="4">
                  <c:v>Por expedición de certificados y constancias</c:v>
                </c:pt>
                <c:pt idx="5">
                  <c:v>Por los servicios de registro civil </c:v>
                </c:pt>
                <c:pt idx="6">
                  <c:v>Por servicios prestados por la Tesorería</c:v>
                </c:pt>
                <c:pt idx="7">
                  <c:v>Por obras materiales</c:v>
                </c:pt>
                <c:pt idx="8">
                  <c:v>Por registro y referendo anual de toda actividad económica</c:v>
                </c:pt>
              </c:strCache>
            </c:strRef>
          </c:cat>
          <c:val>
            <c:numRef>
              <c:f>Hoja1!$F$2:$F$10</c:f>
              <c:numCache>
                <c:formatCode>0.0</c:formatCode>
                <c:ptCount val="9"/>
                <c:pt idx="0">
                  <c:v>0.10406717133313133</c:v>
                </c:pt>
                <c:pt idx="1">
                  <c:v>1.3365374864450501</c:v>
                </c:pt>
                <c:pt idx="2">
                  <c:v>1.8514813164641215</c:v>
                </c:pt>
                <c:pt idx="3">
                  <c:v>1.8790481397739418</c:v>
                </c:pt>
                <c:pt idx="4">
                  <c:v>4.185916821637556</c:v>
                </c:pt>
                <c:pt idx="5">
                  <c:v>10.052147317193526</c:v>
                </c:pt>
                <c:pt idx="6">
                  <c:v>23.04065152923981</c:v>
                </c:pt>
                <c:pt idx="7">
                  <c:v>24.774481502685116</c:v>
                </c:pt>
                <c:pt idx="8">
                  <c:v>32.775668715227674</c:v>
                </c:pt>
              </c:numCache>
            </c:numRef>
          </c:val>
        </c:ser>
        <c:dLbls>
          <c:showVal val="1"/>
        </c:dLbls>
        <c:shape val="box"/>
        <c:axId val="90671360"/>
        <c:axId val="90677248"/>
        <c:axId val="0"/>
      </c:bar3DChart>
      <c:catAx>
        <c:axId val="90671360"/>
        <c:scaling>
          <c:orientation val="minMax"/>
        </c:scaling>
        <c:axPos val="l"/>
        <c:numFmt formatCode="General" sourceLinked="1"/>
        <c:majorTickMark val="none"/>
        <c:tickLblPos val="nextTo"/>
        <c:txPr>
          <a:bodyPr/>
          <a:lstStyle/>
          <a:p>
            <a:pPr>
              <a:defRPr sz="800"/>
            </a:pPr>
            <a:endParaRPr lang="es-MX"/>
          </a:p>
        </c:txPr>
        <c:crossAx val="90677248"/>
        <c:crosses val="autoZero"/>
        <c:auto val="1"/>
        <c:lblAlgn val="ctr"/>
        <c:lblOffset val="100"/>
      </c:catAx>
      <c:valAx>
        <c:axId val="90677248"/>
        <c:scaling>
          <c:orientation val="minMax"/>
        </c:scaling>
        <c:delete val="1"/>
        <c:axPos val="b"/>
        <c:numFmt formatCode="0.0" sourceLinked="1"/>
        <c:tickLblPos val="none"/>
        <c:crossAx val="90671360"/>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88.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000"/>
            </a:pPr>
            <a:r>
              <a:rPr lang="es-MX" sz="1000"/>
              <a:t>COATZACOALCOS.</a:t>
            </a:r>
            <a:r>
              <a:rPr lang="es-MX" sz="1000" baseline="0"/>
              <a:t> GASTO PÚBLICO MUNICIPAL. 1990-2005</a:t>
            </a:r>
          </a:p>
          <a:p>
            <a:pPr>
              <a:defRPr sz="1000"/>
            </a:pPr>
            <a:r>
              <a:rPr lang="es-MX" sz="1000" baseline="0"/>
              <a:t>(Pesos corrientes)</a:t>
            </a:r>
            <a:endParaRPr lang="es-MX" sz="10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AngAx val="1"/>
    </c:view3D>
    <c:plotArea>
      <c:layout>
        <c:manualLayout>
          <c:layoutTarget val="inner"/>
          <c:xMode val="edge"/>
          <c:yMode val="edge"/>
          <c:x val="2.1181322518527591E-2"/>
          <c:y val="0.19045893617847734"/>
          <c:w val="0.95877184909864566"/>
          <c:h val="0.58118701045653853"/>
        </c:manualLayout>
      </c:layout>
      <c:bar3DChart>
        <c:barDir val="col"/>
        <c:grouping val="clustered"/>
        <c:ser>
          <c:idx val="0"/>
          <c:order val="0"/>
          <c:spPr>
            <a:solidFill>
              <a:schemeClr val="accent3"/>
            </a:solidFill>
            <a:effectLst>
              <a:outerShdw blurRad="50800" dist="38100" dir="2700000" algn="tl" rotWithShape="0">
                <a:prstClr val="black">
                  <a:alpha val="40000"/>
                </a:prstClr>
              </a:outerShdw>
            </a:effectLst>
            <a:scene3d>
              <a:camera prst="orthographicFront"/>
              <a:lightRig rig="threePt" dir="t"/>
            </a:scene3d>
            <a:sp3d>
              <a:bevelT/>
            </a:sp3d>
          </c:spPr>
          <c:dLbls>
            <c:dLbl>
              <c:idx val="10"/>
              <c:layout>
                <c:manualLayout>
                  <c:x val="5.5554669648949073E-3"/>
                  <c:y val="0.27849673410468834"/>
                </c:manualLayout>
              </c:layout>
              <c:showVal val="1"/>
            </c:dLbl>
            <c:dLbl>
              <c:idx val="11"/>
              <c:layout>
                <c:manualLayout>
                  <c:x val="5.5554669648949073E-3"/>
                  <c:y val="0.27849673410468834"/>
                </c:manualLayout>
              </c:layout>
              <c:showVal val="1"/>
            </c:dLbl>
            <c:dLbl>
              <c:idx val="12"/>
              <c:layout>
                <c:manualLayout>
                  <c:x val="5.2175202782421314E-3"/>
                  <c:y val="0.25997812596788256"/>
                </c:manualLayout>
              </c:layout>
              <c:showVal val="1"/>
            </c:dLbl>
            <c:dLbl>
              <c:idx val="13"/>
              <c:layout>
                <c:manualLayout>
                  <c:x val="5.5552748405704325E-3"/>
                  <c:y val="0.25534856035131187"/>
                </c:manualLayout>
              </c:layout>
              <c:showVal val="1"/>
            </c:dLbl>
            <c:dLbl>
              <c:idx val="14"/>
              <c:layout>
                <c:manualLayout>
                  <c:x val="5.2175202782421314E-3"/>
                  <c:y val="0.25949902659174373"/>
                </c:manualLayout>
              </c:layout>
              <c:showVal val="1"/>
            </c:dLbl>
            <c:dLbl>
              <c:idx val="15"/>
              <c:layout>
                <c:manualLayout>
                  <c:x val="5.5554669648949073E-3"/>
                  <c:y val="0.28288675003318442"/>
                </c:manualLayout>
              </c:layout>
              <c:showVal val="1"/>
            </c:dLbl>
            <c:txPr>
              <a:bodyPr rot="-5400000" vert="horz"/>
              <a:lstStyle/>
              <a:p>
                <a:pPr>
                  <a:defRPr/>
                </a:pPr>
                <a:endParaRPr lang="es-MX"/>
              </a:p>
            </c:txPr>
            <c:showVal val="1"/>
          </c:dLbls>
          <c:cat>
            <c:numRef>
              <c:f>Hoja3!$A$2:$A$17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Hoja3!$B$2:$B$17</c:f>
              <c:numCache>
                <c:formatCode>#,##0</c:formatCode>
                <c:ptCount val="16"/>
                <c:pt idx="0" formatCode="_(* #,##0_);_(* \(#,##0\);_(* &quot;-&quot;??_);_(@_)">
                  <c:v>31036291</c:v>
                </c:pt>
                <c:pt idx="1">
                  <c:v>38406549</c:v>
                </c:pt>
                <c:pt idx="2">
                  <c:v>46518754</c:v>
                </c:pt>
                <c:pt idx="3">
                  <c:v>60264228</c:v>
                </c:pt>
                <c:pt idx="4">
                  <c:v>76347778</c:v>
                </c:pt>
                <c:pt idx="5">
                  <c:v>103283217</c:v>
                </c:pt>
                <c:pt idx="6">
                  <c:v>126307442</c:v>
                </c:pt>
                <c:pt idx="7">
                  <c:v>190549938</c:v>
                </c:pt>
                <c:pt idx="8">
                  <c:v>178231277</c:v>
                </c:pt>
                <c:pt idx="9">
                  <c:v>253839319</c:v>
                </c:pt>
                <c:pt idx="10">
                  <c:v>377708084</c:v>
                </c:pt>
                <c:pt idx="11">
                  <c:v>449626865</c:v>
                </c:pt>
                <c:pt idx="12">
                  <c:v>672516462</c:v>
                </c:pt>
                <c:pt idx="13">
                  <c:v>682685159</c:v>
                </c:pt>
                <c:pt idx="14">
                  <c:v>677167416</c:v>
                </c:pt>
                <c:pt idx="15">
                  <c:v>637199039</c:v>
                </c:pt>
              </c:numCache>
            </c:numRef>
          </c:val>
        </c:ser>
        <c:dLbls>
          <c:showVal val="1"/>
        </c:dLbls>
        <c:gapWidth val="70"/>
        <c:gapDepth val="70"/>
        <c:shape val="box"/>
        <c:axId val="6103040"/>
        <c:axId val="6104576"/>
        <c:axId val="0"/>
      </c:bar3DChart>
      <c:catAx>
        <c:axId val="6103040"/>
        <c:scaling>
          <c:orientation val="minMax"/>
        </c:scaling>
        <c:axPos val="b"/>
        <c:numFmt formatCode="General" sourceLinked="1"/>
        <c:majorTickMark val="none"/>
        <c:tickLblPos val="nextTo"/>
        <c:txPr>
          <a:bodyPr/>
          <a:lstStyle/>
          <a:p>
            <a:pPr>
              <a:defRPr sz="1000"/>
            </a:pPr>
            <a:endParaRPr lang="es-MX"/>
          </a:p>
        </c:txPr>
        <c:crossAx val="6104576"/>
        <c:crosses val="autoZero"/>
        <c:auto val="1"/>
        <c:lblAlgn val="ctr"/>
        <c:lblOffset val="100"/>
      </c:catAx>
      <c:valAx>
        <c:axId val="6104576"/>
        <c:scaling>
          <c:orientation val="minMax"/>
        </c:scaling>
        <c:delete val="1"/>
        <c:axPos val="l"/>
        <c:numFmt formatCode="_(* #,##0_);_(* \(#,##0\);_(* &quot;-&quot;??_);_(@_)" sourceLinked="1"/>
        <c:tickLblPos val="none"/>
        <c:crossAx val="6103040"/>
        <c:crosses val="autoZero"/>
        <c:crossBetween val="between"/>
      </c:valAx>
    </c:plotArea>
    <c:plotVisOnly val="1"/>
  </c:chart>
  <c:spPr>
    <a:effectLst>
      <a:outerShdw blurRad="50800" dist="38100" dir="2700000" algn="tl" rotWithShape="0">
        <a:prstClr val="black">
          <a:alpha val="40000"/>
        </a:prstClr>
      </a:outerShdw>
    </a:effectLst>
  </c:spPr>
  <c:externalData r:id="rId1"/>
</c:chartSpace>
</file>

<file path=word/charts/chart89.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400"/>
              <a:t>COATZACOALCOS.</a:t>
            </a:r>
            <a:r>
              <a:rPr lang="es-MX" sz="1400" baseline="0"/>
              <a:t> ESTRUCTURA DEL GASTO PÚBLICO MUNICIPAL. 2005</a:t>
            </a:r>
            <a:endParaRPr lang="es-MX" sz="14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view3D>
      <c:rotX val="30"/>
      <c:perspective val="30"/>
    </c:view3D>
    <c:plotArea>
      <c:layout>
        <c:manualLayout>
          <c:layoutTarget val="inner"/>
          <c:xMode val="edge"/>
          <c:yMode val="edge"/>
          <c:x val="0.15108078394477675"/>
          <c:y val="0.22676285765031251"/>
          <c:w val="0.69720676463303599"/>
          <c:h val="0.56866057156390004"/>
        </c:manualLayout>
      </c:layout>
      <c:pie3DChart>
        <c:varyColors val="1"/>
        <c:ser>
          <c:idx val="0"/>
          <c:order val="0"/>
          <c:explosion val="25"/>
          <c:dPt>
            <c:idx val="0"/>
            <c:spPr>
              <a:solidFill>
                <a:srgbClr val="0033CC"/>
              </a:solidFill>
            </c:spPr>
          </c:dPt>
          <c:dPt>
            <c:idx val="1"/>
            <c:spPr>
              <a:solidFill>
                <a:srgbClr val="FFFF00"/>
              </a:solidFill>
            </c:spPr>
          </c:dPt>
          <c:dPt>
            <c:idx val="2"/>
            <c:spPr>
              <a:solidFill>
                <a:srgbClr val="008000"/>
              </a:solidFill>
            </c:spPr>
          </c:dPt>
          <c:dPt>
            <c:idx val="3"/>
            <c:spPr>
              <a:solidFill>
                <a:srgbClr val="CC3399"/>
              </a:solidFill>
            </c:spPr>
          </c:dPt>
          <c:dPt>
            <c:idx val="4"/>
            <c:spPr>
              <a:solidFill>
                <a:srgbClr val="C00000"/>
              </a:solidFill>
            </c:spPr>
          </c:dPt>
          <c:dPt>
            <c:idx val="5"/>
            <c:spPr>
              <a:solidFill>
                <a:srgbClr val="FF9900"/>
              </a:solidFill>
            </c:spPr>
          </c:dPt>
          <c:dLbls>
            <c:dLbl>
              <c:idx val="0"/>
              <c:tx>
                <c:rich>
                  <a:bodyPr/>
                  <a:lstStyle/>
                  <a:p>
                    <a:r>
                      <a:rPr lang="en-US" sz="800"/>
                      <a:t>Servicios personales  
29.7%</a:t>
                    </a:r>
                  </a:p>
                </c:rich>
              </c:tx>
              <c:showCatName val="1"/>
              <c:showPercent val="1"/>
            </c:dLbl>
            <c:dLbl>
              <c:idx val="1"/>
              <c:tx>
                <c:rich>
                  <a:bodyPr/>
                  <a:lstStyle/>
                  <a:p>
                    <a:r>
                      <a:rPr lang="en-US" sz="800"/>
                      <a:t>Materiales y suministros 
4.4%</a:t>
                    </a:r>
                  </a:p>
                </c:rich>
              </c:tx>
              <c:showCatName val="1"/>
              <c:showPercent val="1"/>
            </c:dLbl>
            <c:dLbl>
              <c:idx val="2"/>
              <c:tx>
                <c:rich>
                  <a:bodyPr/>
                  <a:lstStyle/>
                  <a:p>
                    <a:r>
                      <a:rPr lang="en-US" sz="800"/>
                      <a:t>Servicios generales        
16.7%</a:t>
                    </a:r>
                  </a:p>
                </c:rich>
              </c:tx>
              <c:showCatName val="1"/>
              <c:showPercent val="1"/>
            </c:dLbl>
            <c:dLbl>
              <c:idx val="3"/>
              <c:layout>
                <c:manualLayout>
                  <c:x val="0.20923357027697306"/>
                  <c:y val="1.4562164344841521E-2"/>
                </c:manualLayout>
              </c:layout>
              <c:tx>
                <c:rich>
                  <a:bodyPr/>
                  <a:lstStyle/>
                  <a:p>
                    <a:r>
                      <a:rPr lang="en-US" sz="800"/>
                      <a:t>Subsidios, transferencias y ayudas      
4.9%</a:t>
                    </a:r>
                  </a:p>
                </c:rich>
              </c:tx>
              <c:showCatName val="1"/>
              <c:showPercent val="1"/>
            </c:dLbl>
            <c:dLbl>
              <c:idx val="4"/>
              <c:tx>
                <c:rich>
                  <a:bodyPr/>
                  <a:lstStyle/>
                  <a:p>
                    <a:r>
                      <a:rPr lang="en-US" sz="800"/>
                      <a:t>Adquisiciones bienes muebles e inmuebles
2.3%</a:t>
                    </a:r>
                  </a:p>
                </c:rich>
              </c:tx>
              <c:showCatName val="1"/>
              <c:showPercent val="1"/>
            </c:dLbl>
            <c:dLbl>
              <c:idx val="5"/>
              <c:tx>
                <c:rich>
                  <a:bodyPr/>
                  <a:lstStyle/>
                  <a:p>
                    <a:r>
                      <a:rPr lang="en-US" sz="800"/>
                      <a:t>Obras públicas y acciones sociales            
39.8%</a:t>
                    </a:r>
                  </a:p>
                </c:rich>
              </c:tx>
              <c:showCatName val="1"/>
              <c:showPercent val="1"/>
            </c:dLbl>
            <c:txPr>
              <a:bodyPr/>
              <a:lstStyle/>
              <a:p>
                <a:pPr>
                  <a:defRPr sz="800"/>
                </a:pPr>
                <a:endParaRPr lang="es-MX"/>
              </a:p>
            </c:txPr>
            <c:showCatName val="1"/>
            <c:showPercent val="1"/>
            <c:showLeaderLines val="1"/>
          </c:dLbls>
          <c:cat>
            <c:strRef>
              <c:f>Hoja4!$C$1:$H$1</c:f>
              <c:strCache>
                <c:ptCount val="6"/>
                <c:pt idx="0">
                  <c:v>Servicios personales  </c:v>
                </c:pt>
                <c:pt idx="1">
                  <c:v>Materiales y suministros </c:v>
                </c:pt>
                <c:pt idx="2">
                  <c:v>Servicios generales        </c:v>
                </c:pt>
                <c:pt idx="3">
                  <c:v>Subsidios, transferencias y ayudas      </c:v>
                </c:pt>
                <c:pt idx="4">
                  <c:v>Adquisiciones bienes muebles e inmuebles</c:v>
                </c:pt>
                <c:pt idx="5">
                  <c:v>Obras públicas y acciones sociales            </c:v>
                </c:pt>
              </c:strCache>
            </c:strRef>
          </c:cat>
          <c:val>
            <c:numRef>
              <c:f>Hoja4!$C$3:$H$3</c:f>
              <c:numCache>
                <c:formatCode>0.0</c:formatCode>
                <c:ptCount val="6"/>
                <c:pt idx="0">
                  <c:v>29.74477492895279</c:v>
                </c:pt>
                <c:pt idx="1">
                  <c:v>4.3803567318311734</c:v>
                </c:pt>
                <c:pt idx="2">
                  <c:v>16.660016651406153</c:v>
                </c:pt>
                <c:pt idx="3">
                  <c:v>4.8722002231393819</c:v>
                </c:pt>
                <c:pt idx="4">
                  <c:v>2.2604491090577428</c:v>
                </c:pt>
                <c:pt idx="5">
                  <c:v>39.827374723959679</c:v>
                </c:pt>
              </c:numCache>
            </c:numRef>
          </c:val>
        </c:ser>
        <c:dLbls>
          <c:showCatName val="1"/>
          <c:showPercent val="1"/>
        </c:dLbls>
      </c:pie3DChart>
    </c:plotArea>
    <c:plotVisOnly val="1"/>
  </c:chart>
  <c:spPr>
    <a:effectLst>
      <a:outerShdw blurRad="50800" dist="38100" dir="2700000" algn="tl" rotWithShape="0">
        <a:prstClr val="black">
          <a:alpha val="40000"/>
        </a:prstClr>
      </a:outerShdw>
    </a:effectLst>
  </c:spPr>
  <c:externalData r:id="rId1"/>
</c:chartSpace>
</file>

<file path=word/charts/chart90.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b="0"/>
            </a:pPr>
            <a:r>
              <a:rPr lang="es-MX" sz="1200" b="0"/>
              <a:t>COATZACOALCOS.</a:t>
            </a:r>
            <a:r>
              <a:rPr lang="es-MX" sz="1200" b="0" baseline="0"/>
              <a:t> GASTO PÚBLICO. CLASIFICACIÓN ECONÓMICA. 1990-2005</a:t>
            </a:r>
          </a:p>
          <a:p>
            <a:pPr>
              <a:defRPr sz="1200" b="0"/>
            </a:pPr>
            <a:r>
              <a:rPr lang="es-MX" sz="1200" b="0" baseline="0"/>
              <a:t>(Participación porcentual)</a:t>
            </a:r>
            <a:endParaRPr lang="es-MX" sz="1200" b="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2.4162548050521683E-2"/>
          <c:y val="0.27949148050304784"/>
          <c:w val="0.9516749038989567"/>
          <c:h val="0.5413431460288417"/>
        </c:manualLayout>
      </c:layout>
      <c:lineChart>
        <c:grouping val="standard"/>
        <c:ser>
          <c:idx val="0"/>
          <c:order val="0"/>
          <c:tx>
            <c:strRef>
              <c:f>Hoja5!$E$1</c:f>
              <c:strCache>
                <c:ptCount val="1"/>
                <c:pt idx="0">
                  <c:v>Gasto Corriente</c:v>
                </c:pt>
              </c:strCache>
            </c:strRef>
          </c:tx>
          <c:spPr>
            <a:ln w="1905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3.5145524437122454E-2"/>
                  <c:y val="3.4744842562432182E-2"/>
                </c:manualLayout>
              </c:layout>
              <c:showVal val="1"/>
            </c:dLbl>
            <c:dLbl>
              <c:idx val="1"/>
              <c:delete val="1"/>
            </c:dLbl>
            <c:dLbl>
              <c:idx val="2"/>
              <c:delete val="1"/>
            </c:dLbl>
            <c:dLbl>
              <c:idx val="3"/>
              <c:delete val="1"/>
            </c:dLbl>
            <c:dLbl>
              <c:idx val="4"/>
              <c:delete val="1"/>
            </c:dLbl>
            <c:dLbl>
              <c:idx val="5"/>
              <c:delete val="1"/>
            </c:dLbl>
            <c:dLbl>
              <c:idx val="6"/>
              <c:delete val="1"/>
            </c:dLbl>
            <c:dLbl>
              <c:idx val="7"/>
              <c:delete val="1"/>
            </c:dLbl>
            <c:dLbl>
              <c:idx val="9"/>
              <c:delete val="1"/>
            </c:dLbl>
            <c:dLbl>
              <c:idx val="10"/>
              <c:delete val="1"/>
            </c:dLbl>
            <c:dLbl>
              <c:idx val="11"/>
              <c:delete val="1"/>
            </c:dLbl>
            <c:dLbl>
              <c:idx val="12"/>
              <c:delete val="1"/>
            </c:dLbl>
            <c:dLbl>
              <c:idx val="13"/>
              <c:delete val="1"/>
            </c:dLbl>
            <c:dLbl>
              <c:idx val="14"/>
              <c:delete val="1"/>
            </c:dLbl>
            <c:txPr>
              <a:bodyPr/>
              <a:lstStyle/>
              <a:p>
                <a:pPr>
                  <a:defRPr sz="900"/>
                </a:pPr>
                <a:endParaRPr lang="es-MX"/>
              </a:p>
            </c:txPr>
            <c:showVal val="1"/>
          </c:dLbls>
          <c:cat>
            <c:numRef>
              <c:f>Hoja5!$A$2:$A$17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Hoja5!$E$2:$E$17</c:f>
              <c:numCache>
                <c:formatCode>0.0</c:formatCode>
                <c:ptCount val="16"/>
                <c:pt idx="0">
                  <c:v>35.992918741482363</c:v>
                </c:pt>
                <c:pt idx="1">
                  <c:v>30.984819802476789</c:v>
                </c:pt>
                <c:pt idx="2">
                  <c:v>27.909023530595462</c:v>
                </c:pt>
                <c:pt idx="3">
                  <c:v>75.415664496689487</c:v>
                </c:pt>
                <c:pt idx="4">
                  <c:v>85.416776634940177</c:v>
                </c:pt>
                <c:pt idx="5">
                  <c:v>73.935150567589318</c:v>
                </c:pt>
                <c:pt idx="6">
                  <c:v>60.457721881501975</c:v>
                </c:pt>
                <c:pt idx="7">
                  <c:v>68.265718354627296</c:v>
                </c:pt>
                <c:pt idx="8">
                  <c:v>92.667274666948927</c:v>
                </c:pt>
                <c:pt idx="9">
                  <c:v>92.787451891958469</c:v>
                </c:pt>
                <c:pt idx="10">
                  <c:v>60.694018134915687</c:v>
                </c:pt>
                <c:pt idx="11">
                  <c:v>58.52708067165802</c:v>
                </c:pt>
                <c:pt idx="12">
                  <c:v>48.672712787810013</c:v>
                </c:pt>
                <c:pt idx="13">
                  <c:v>41.377744231876086</c:v>
                </c:pt>
                <c:pt idx="14">
                  <c:v>52.580006891530644</c:v>
                </c:pt>
                <c:pt idx="15">
                  <c:v>55.657348535329476</c:v>
                </c:pt>
              </c:numCache>
            </c:numRef>
          </c:val>
          <c:smooth val="1"/>
        </c:ser>
        <c:ser>
          <c:idx val="1"/>
          <c:order val="1"/>
          <c:tx>
            <c:strRef>
              <c:f>Hoja5!$F$1</c:f>
              <c:strCache>
                <c:ptCount val="1"/>
                <c:pt idx="0">
                  <c:v>Gasto de Capital</c:v>
                </c:pt>
              </c:strCache>
            </c:strRef>
          </c:tx>
          <c:spPr>
            <a:ln w="19050">
              <a:solidFill>
                <a:srgbClr val="C00000"/>
              </a:solidFill>
            </a:ln>
            <a:effectLst>
              <a:outerShdw blurRad="50800" dist="38100" dir="2700000" algn="tl" rotWithShape="0">
                <a:prstClr val="black">
                  <a:alpha val="40000"/>
                </a:prstClr>
              </a:outerShdw>
            </a:effectLst>
          </c:spPr>
          <c:marker>
            <c:spPr>
              <a:solidFill>
                <a:srgbClr val="C00000"/>
              </a:solidFill>
              <a:effectLst>
                <a:outerShdw blurRad="50800" dist="38100" dir="2700000" algn="tl" rotWithShape="0">
                  <a:prstClr val="black">
                    <a:alpha val="40000"/>
                  </a:prstClr>
                </a:outerShdw>
              </a:effectLst>
              <a:scene3d>
                <a:camera prst="orthographicFront"/>
                <a:lightRig rig="threePt" dir="t"/>
              </a:scene3d>
              <a:sp3d>
                <a:bevelT/>
              </a:sp3d>
            </c:spPr>
          </c:marker>
          <c:dLbls>
            <c:dLbl>
              <c:idx val="0"/>
              <c:layout>
                <c:manualLayout>
                  <c:x val="-3.0752333882482146E-2"/>
                  <c:y val="-3.9087947882736881E-2"/>
                </c:manualLayout>
              </c:layout>
              <c:showVal val="1"/>
            </c:dLbl>
            <c:dLbl>
              <c:idx val="1"/>
              <c:delete val="1"/>
            </c:dLbl>
            <c:dLbl>
              <c:idx val="2"/>
              <c:delete val="1"/>
            </c:dLbl>
            <c:dLbl>
              <c:idx val="3"/>
              <c:delete val="1"/>
            </c:dLbl>
            <c:dLbl>
              <c:idx val="4"/>
              <c:delete val="1"/>
            </c:dLbl>
            <c:dLbl>
              <c:idx val="5"/>
              <c:delete val="1"/>
            </c:dLbl>
            <c:dLbl>
              <c:idx val="6"/>
              <c:delete val="1"/>
            </c:dLbl>
            <c:dLbl>
              <c:idx val="7"/>
              <c:delete val="1"/>
            </c:dLbl>
            <c:dLbl>
              <c:idx val="9"/>
              <c:delete val="1"/>
            </c:dLbl>
            <c:dLbl>
              <c:idx val="10"/>
              <c:delete val="1"/>
            </c:dLbl>
            <c:dLbl>
              <c:idx val="11"/>
              <c:delete val="1"/>
            </c:dLbl>
            <c:dLbl>
              <c:idx val="12"/>
              <c:delete val="1"/>
            </c:dLbl>
            <c:dLbl>
              <c:idx val="13"/>
              <c:delete val="1"/>
            </c:dLbl>
            <c:dLbl>
              <c:idx val="14"/>
              <c:delete val="1"/>
            </c:dLbl>
            <c:txPr>
              <a:bodyPr/>
              <a:lstStyle/>
              <a:p>
                <a:pPr>
                  <a:defRPr sz="900"/>
                </a:pPr>
                <a:endParaRPr lang="es-MX"/>
              </a:p>
            </c:txPr>
            <c:showVal val="1"/>
          </c:dLbls>
          <c:cat>
            <c:numRef>
              <c:f>Hoja5!$A$2:$A$17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Hoja5!$F$2:$F$17</c:f>
              <c:numCache>
                <c:formatCode>0.0</c:formatCode>
                <c:ptCount val="16"/>
                <c:pt idx="0">
                  <c:v>64.007081258517644</c:v>
                </c:pt>
                <c:pt idx="1">
                  <c:v>67.44158398610783</c:v>
                </c:pt>
                <c:pt idx="2">
                  <c:v>72.09097646940414</c:v>
                </c:pt>
                <c:pt idx="3">
                  <c:v>24.58433550331052</c:v>
                </c:pt>
                <c:pt idx="4">
                  <c:v>6.6150255217643661</c:v>
                </c:pt>
                <c:pt idx="5">
                  <c:v>48.357169200103144</c:v>
                </c:pt>
                <c:pt idx="6">
                  <c:v>39.542278118497556</c:v>
                </c:pt>
                <c:pt idx="7">
                  <c:v>27.517399664543593</c:v>
                </c:pt>
                <c:pt idx="8">
                  <c:v>6.8378638166857755</c:v>
                </c:pt>
                <c:pt idx="9">
                  <c:v>6.8361954595379286</c:v>
                </c:pt>
                <c:pt idx="10">
                  <c:v>26.68606452172202</c:v>
                </c:pt>
                <c:pt idx="11">
                  <c:v>24.793239167325655</c:v>
                </c:pt>
                <c:pt idx="12">
                  <c:v>42.627982093916344</c:v>
                </c:pt>
                <c:pt idx="13">
                  <c:v>58.62225576812412</c:v>
                </c:pt>
                <c:pt idx="14">
                  <c:v>35.944062908071182</c:v>
                </c:pt>
                <c:pt idx="15">
                  <c:v>42.087823833016792</c:v>
                </c:pt>
              </c:numCache>
            </c:numRef>
          </c:val>
          <c:smooth val="1"/>
        </c:ser>
        <c:dLbls>
          <c:showVal val="1"/>
        </c:dLbls>
        <c:marker val="1"/>
        <c:axId val="91056768"/>
        <c:axId val="6160768"/>
      </c:lineChart>
      <c:catAx>
        <c:axId val="91056768"/>
        <c:scaling>
          <c:orientation val="minMax"/>
        </c:scaling>
        <c:axPos val="b"/>
        <c:numFmt formatCode="General" sourceLinked="1"/>
        <c:majorTickMark val="none"/>
        <c:tickLblPos val="nextTo"/>
        <c:crossAx val="6160768"/>
        <c:crosses val="autoZero"/>
        <c:auto val="1"/>
        <c:lblAlgn val="ctr"/>
        <c:lblOffset val="100"/>
      </c:catAx>
      <c:valAx>
        <c:axId val="6160768"/>
        <c:scaling>
          <c:orientation val="minMax"/>
        </c:scaling>
        <c:delete val="1"/>
        <c:axPos val="l"/>
        <c:numFmt formatCode="0.0" sourceLinked="1"/>
        <c:tickLblPos val="none"/>
        <c:crossAx val="91056768"/>
        <c:crosses val="autoZero"/>
        <c:crossBetween val="between"/>
      </c:valAx>
    </c:plotArea>
    <c:legend>
      <c:legendPos val="t"/>
      <c:layout>
        <c:manualLayout>
          <c:xMode val="edge"/>
          <c:yMode val="edge"/>
          <c:x val="0.68168912988018182"/>
          <c:y val="0.36905554558123227"/>
          <c:w val="0.25606143548366178"/>
          <c:h val="0.13065326117622941"/>
        </c:manualLayout>
      </c:layout>
    </c:legend>
    <c:plotVisOnly val="1"/>
  </c:chart>
  <c:spPr>
    <a:ln>
      <a:solidFill>
        <a:sysClr val="windowText" lastClr="000000"/>
      </a:solidFill>
    </a:ln>
    <a:effectLst>
      <a:outerShdw blurRad="50800" dist="38100" dir="2700000" algn="tl" rotWithShape="0">
        <a:prstClr val="black">
          <a:alpha val="40000"/>
        </a:prstClr>
      </a:outerShdw>
    </a:effectLst>
  </c:spPr>
  <c:externalData r:id="rId1"/>
</c:chartSpace>
</file>

<file path=word/charts/chart91.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a:t>
            </a:r>
            <a:r>
              <a:rPr lang="es-MX" sz="1200" baseline="0"/>
              <a:t> ÍNDICE DE CRECIMIENTO DEL GASTO PÚBLICO.</a:t>
            </a:r>
          </a:p>
          <a:p>
            <a:pPr>
              <a:defRPr sz="1200"/>
            </a:pPr>
            <a:r>
              <a:rPr lang="es-MX" sz="1200" baseline="0"/>
              <a:t>CLASIFICACIÓN ECONÓMICA. 1990-2004</a:t>
            </a:r>
          </a:p>
          <a:p>
            <a:pPr>
              <a:defRPr sz="1200"/>
            </a:pPr>
            <a:r>
              <a:rPr lang="es-MX" sz="1200" baseline="0"/>
              <a:t>(Base 1990=100)</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8.1576613268169063E-2"/>
          <c:y val="0.2244254102280126"/>
          <c:w val="0.86254973300752025"/>
          <c:h val="0.61740440756541326"/>
        </c:manualLayout>
      </c:layout>
      <c:lineChart>
        <c:grouping val="standard"/>
        <c:ser>
          <c:idx val="0"/>
          <c:order val="0"/>
          <c:tx>
            <c:strRef>
              <c:f>Hoja8!$E$1</c:f>
              <c:strCache>
                <c:ptCount val="1"/>
                <c:pt idx="0">
                  <c:v>Gasto Corriente</c:v>
                </c:pt>
              </c:strCache>
            </c:strRef>
          </c:tx>
          <c:spPr>
            <a:ln w="1270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Hoja8!$A$2:$A$17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Hoja8!$E$2:$E$17</c:f>
              <c:numCache>
                <c:formatCode>0</c:formatCode>
                <c:ptCount val="16"/>
                <c:pt idx="0">
                  <c:v>100</c:v>
                </c:pt>
                <c:pt idx="1">
                  <c:v>87.127935739736259</c:v>
                </c:pt>
                <c:pt idx="2">
                  <c:v>82.724900636041951</c:v>
                </c:pt>
                <c:pt idx="3">
                  <c:v>263.56147391505283</c:v>
                </c:pt>
                <c:pt idx="4">
                  <c:v>184.57933836961803</c:v>
                </c:pt>
                <c:pt idx="5">
                  <c:v>314.71679227952723</c:v>
                </c:pt>
                <c:pt idx="6">
                  <c:v>237.00989560292658</c:v>
                </c:pt>
                <c:pt idx="7">
                  <c:v>338.19949719105472</c:v>
                </c:pt>
                <c:pt idx="8">
                  <c:v>371.12581286093842</c:v>
                </c:pt>
                <c:pt idx="9">
                  <c:v>454.41093597032699</c:v>
                </c:pt>
                <c:pt idx="10">
                  <c:v>401.7061057550988</c:v>
                </c:pt>
                <c:pt idx="11">
                  <c:v>427.92220370082464</c:v>
                </c:pt>
                <c:pt idx="12">
                  <c:v>498.57297999563389</c:v>
                </c:pt>
                <c:pt idx="13">
                  <c:v>407.33899104145769</c:v>
                </c:pt>
                <c:pt idx="14">
                  <c:v>486.80219593101384</c:v>
                </c:pt>
                <c:pt idx="15">
                  <c:v>464.26306492722324</c:v>
                </c:pt>
              </c:numCache>
            </c:numRef>
          </c:val>
          <c:smooth val="1"/>
        </c:ser>
        <c:ser>
          <c:idx val="1"/>
          <c:order val="1"/>
          <c:tx>
            <c:strRef>
              <c:f>Hoja8!$F$1</c:f>
              <c:strCache>
                <c:ptCount val="1"/>
                <c:pt idx="0">
                  <c:v>Gasto de Capital</c:v>
                </c:pt>
              </c:strCache>
            </c:strRef>
          </c:tx>
          <c:spPr>
            <a:ln w="1270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Hoja8!$A$2:$A$17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Hoja8!$F$2:$F$17</c:f>
              <c:numCache>
                <c:formatCode>0</c:formatCode>
                <c:ptCount val="16"/>
                <c:pt idx="0">
                  <c:v>100</c:v>
                </c:pt>
                <c:pt idx="1">
                  <c:v>106.64125664670858</c:v>
                </c:pt>
                <c:pt idx="2">
                  <c:v>120.16045458175648</c:v>
                </c:pt>
                <c:pt idx="3">
                  <c:v>48.313431192251294</c:v>
                </c:pt>
                <c:pt idx="4">
                  <c:v>122.36652493286408</c:v>
                </c:pt>
                <c:pt idx="5">
                  <c:v>115.74943139664886</c:v>
                </c:pt>
                <c:pt idx="6">
                  <c:v>87.169675480969232</c:v>
                </c:pt>
                <c:pt idx="7">
                  <c:v>76.659631413865483</c:v>
                </c:pt>
                <c:pt idx="8">
                  <c:v>15.399416331070436</c:v>
                </c:pt>
                <c:pt idx="9">
                  <c:v>18.826216122978888</c:v>
                </c:pt>
                <c:pt idx="10">
                  <c:v>99.319864122541048</c:v>
                </c:pt>
                <c:pt idx="11">
                  <c:v>101.93662990590157</c:v>
                </c:pt>
                <c:pt idx="12">
                  <c:v>245.54268629993419</c:v>
                </c:pt>
                <c:pt idx="13">
                  <c:v>324.51945709404902</c:v>
                </c:pt>
                <c:pt idx="14">
                  <c:v>187.13201665653281</c:v>
                </c:pt>
                <c:pt idx="15">
                  <c:v>197.41817565330192</c:v>
                </c:pt>
              </c:numCache>
            </c:numRef>
          </c:val>
          <c:smooth val="1"/>
        </c:ser>
        <c:ser>
          <c:idx val="2"/>
          <c:order val="2"/>
          <c:tx>
            <c:strRef>
              <c:f>Hoja8!$G$1</c:f>
              <c:strCache>
                <c:ptCount val="1"/>
                <c:pt idx="0">
                  <c:v>Gasto Total</c:v>
                </c:pt>
              </c:strCache>
            </c:strRef>
          </c:tx>
          <c:spPr>
            <a:ln w="12700"/>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Hoja8!$A$2:$A$17</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Hoja8!$G$2:$G$17</c:f>
              <c:numCache>
                <c:formatCode>0</c:formatCode>
                <c:ptCount val="16"/>
                <c:pt idx="0">
                  <c:v>100</c:v>
                </c:pt>
                <c:pt idx="1">
                  <c:v>99.617842908896819</c:v>
                </c:pt>
                <c:pt idx="2">
                  <c:v>106.68630606965071</c:v>
                </c:pt>
                <c:pt idx="3">
                  <c:v>125.78748430210061</c:v>
                </c:pt>
                <c:pt idx="4">
                  <c:v>144.75873231994501</c:v>
                </c:pt>
                <c:pt idx="5">
                  <c:v>187.36359192129595</c:v>
                </c:pt>
                <c:pt idx="6">
                  <c:v>141.10154415152363</c:v>
                </c:pt>
                <c:pt idx="7">
                  <c:v>170.79546277963195</c:v>
                </c:pt>
                <c:pt idx="8">
                  <c:v>143.43572917606903</c:v>
                </c:pt>
                <c:pt idx="9">
                  <c:v>175.60587038794839</c:v>
                </c:pt>
                <c:pt idx="10">
                  <c:v>208.15749835877534</c:v>
                </c:pt>
                <c:pt idx="11">
                  <c:v>219.26835259086016</c:v>
                </c:pt>
                <c:pt idx="12">
                  <c:v>336.61567430116202</c:v>
                </c:pt>
                <c:pt idx="13">
                  <c:v>354.328624649814</c:v>
                </c:pt>
                <c:pt idx="14">
                  <c:v>294.99206077525122</c:v>
                </c:pt>
                <c:pt idx="15">
                  <c:v>293.46343981546352</c:v>
                </c:pt>
              </c:numCache>
            </c:numRef>
          </c:val>
          <c:smooth val="1"/>
        </c:ser>
        <c:marker val="1"/>
        <c:axId val="6201344"/>
        <c:axId val="6203264"/>
      </c:lineChart>
      <c:catAx>
        <c:axId val="6201344"/>
        <c:scaling>
          <c:orientation val="minMax"/>
        </c:scaling>
        <c:axPos val="b"/>
        <c:numFmt formatCode="General" sourceLinked="1"/>
        <c:majorTickMark val="none"/>
        <c:tickLblPos val="nextTo"/>
        <c:crossAx val="6203264"/>
        <c:crosses val="autoZero"/>
        <c:auto val="1"/>
        <c:lblAlgn val="ctr"/>
        <c:lblOffset val="100"/>
      </c:catAx>
      <c:valAx>
        <c:axId val="6203264"/>
        <c:scaling>
          <c:orientation val="minMax"/>
        </c:scaling>
        <c:axPos val="l"/>
        <c:numFmt formatCode="0" sourceLinked="1"/>
        <c:majorTickMark val="none"/>
        <c:tickLblPos val="nextTo"/>
        <c:crossAx val="6201344"/>
        <c:crosses val="autoZero"/>
        <c:crossBetween val="between"/>
      </c:valAx>
    </c:plotArea>
    <c:legend>
      <c:legendPos val="r"/>
      <c:layout>
        <c:manualLayout>
          <c:xMode val="edge"/>
          <c:yMode val="edge"/>
          <c:x val="0.11894316608482192"/>
          <c:y val="0.2798984597812158"/>
          <c:w val="0.22327939590075513"/>
          <c:h val="0.20260961420716114"/>
        </c:manualLayout>
      </c:layout>
    </c:legend>
    <c:plotVisOnly val="1"/>
  </c:chart>
  <c:spPr>
    <a:effectLst>
      <a:outerShdw blurRad="50800" dist="38100" dir="2700000" algn="tl" rotWithShape="0">
        <a:prstClr val="black">
          <a:alpha val="40000"/>
        </a:prstClr>
      </a:outerShdw>
    </a:effectLst>
  </c:spPr>
  <c:externalData r:id="rId1"/>
</c:chartSpace>
</file>

<file path=word/charts/chart92.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400"/>
            </a:pPr>
            <a:r>
              <a:rPr lang="es-MX" sz="1200"/>
              <a:t>COATZACOALCOS.</a:t>
            </a:r>
            <a:r>
              <a:rPr lang="es-MX" sz="1200" baseline="0"/>
              <a:t> GASTO DE CAPITAL POR RUBRO. 1990-2005</a:t>
            </a:r>
          </a:p>
          <a:p>
            <a:pPr>
              <a:defRPr sz="1400"/>
            </a:pPr>
            <a:r>
              <a:rPr lang="es-MX" sz="1200" baseline="0"/>
              <a:t>(Pesos corrientes)</a:t>
            </a:r>
            <a:endParaRPr lang="es-MX" sz="1200"/>
          </a:p>
        </c:rich>
      </c:tx>
      <c:spPr>
        <a:ln>
          <a:solidFill>
            <a:sysClr val="windowText" lastClr="000000"/>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15934787683108048"/>
          <c:y val="0.18201489743833724"/>
          <c:w val="0.83003886225016565"/>
          <c:h val="0.70402822417397948"/>
        </c:manualLayout>
      </c:layout>
      <c:lineChart>
        <c:grouping val="standard"/>
        <c:ser>
          <c:idx val="0"/>
          <c:order val="0"/>
          <c:tx>
            <c:strRef>
              <c:f>Hoja6!$Q$2</c:f>
              <c:strCache>
                <c:ptCount val="1"/>
                <c:pt idx="0">
                  <c:v>Adquisiciones bienes muebles e inmuebles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Hoja6!$P$4:$P$19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Hoja6!$Q$4:$Q$19</c:f>
              <c:numCache>
                <c:formatCode>_(* #,##0_);_(* \(#,##0\);_(* "-"??_);_(@_)</c:formatCode>
                <c:ptCount val="16"/>
                <c:pt idx="0">
                  <c:v>0</c:v>
                </c:pt>
                <c:pt idx="1">
                  <c:v>0</c:v>
                </c:pt>
                <c:pt idx="2">
                  <c:v>0</c:v>
                </c:pt>
                <c:pt idx="3">
                  <c:v>0</c:v>
                </c:pt>
                <c:pt idx="4">
                  <c:v>0</c:v>
                </c:pt>
                <c:pt idx="5">
                  <c:v>1413046</c:v>
                </c:pt>
                <c:pt idx="6">
                  <c:v>1397292</c:v>
                </c:pt>
                <c:pt idx="7">
                  <c:v>1255723</c:v>
                </c:pt>
                <c:pt idx="8">
                  <c:v>3904628</c:v>
                </c:pt>
                <c:pt idx="9">
                  <c:v>2642852</c:v>
                </c:pt>
                <c:pt idx="10">
                  <c:v>5391790</c:v>
                </c:pt>
                <c:pt idx="11">
                  <c:v>28812529</c:v>
                </c:pt>
                <c:pt idx="12">
                  <c:v>23879359</c:v>
                </c:pt>
                <c:pt idx="13">
                  <c:v>4838762</c:v>
                </c:pt>
                <c:pt idx="14">
                  <c:v>14337578</c:v>
                </c:pt>
                <c:pt idx="15">
                  <c:v>14403560</c:v>
                </c:pt>
              </c:numCache>
            </c:numRef>
          </c:val>
          <c:smooth val="1"/>
        </c:ser>
        <c:ser>
          <c:idx val="1"/>
          <c:order val="1"/>
          <c:tx>
            <c:strRef>
              <c:f>Hoja6!$R$2</c:f>
              <c:strCache>
                <c:ptCount val="1"/>
                <c:pt idx="0">
                  <c:v>Obras públicas y acciones sociales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Hoja6!$P$4:$P$19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Hoja6!$R$4:$R$19</c:f>
              <c:numCache>
                <c:formatCode>_(* #,##0_);_(* \(#,##0\);_(* "-"??_);_(@_)</c:formatCode>
                <c:ptCount val="16"/>
                <c:pt idx="0">
                  <c:v>19865424</c:v>
                </c:pt>
                <c:pt idx="1">
                  <c:v>25669866</c:v>
                </c:pt>
                <c:pt idx="2">
                  <c:v>33437390</c:v>
                </c:pt>
                <c:pt idx="3">
                  <c:v>14815560</c:v>
                </c:pt>
                <c:pt idx="4">
                  <c:v>3405484</c:v>
                </c:pt>
                <c:pt idx="5">
                  <c:v>13991849</c:v>
                </c:pt>
                <c:pt idx="6">
                  <c:v>36170710</c:v>
                </c:pt>
                <c:pt idx="7">
                  <c:v>11734490</c:v>
                </c:pt>
                <c:pt idx="8">
                  <c:v>4245347</c:v>
                </c:pt>
                <c:pt idx="9">
                  <c:v>14389298</c:v>
                </c:pt>
                <c:pt idx="10">
                  <c:v>62451644</c:v>
                </c:pt>
                <c:pt idx="11">
                  <c:v>75888372</c:v>
                </c:pt>
                <c:pt idx="12">
                  <c:v>220201297</c:v>
                </c:pt>
                <c:pt idx="13">
                  <c:v>338792939</c:v>
                </c:pt>
                <c:pt idx="14">
                  <c:v>222598412</c:v>
                </c:pt>
                <c:pt idx="15">
                  <c:v>253779649</c:v>
                </c:pt>
              </c:numCache>
            </c:numRef>
          </c:val>
          <c:smooth val="1"/>
        </c:ser>
        <c:ser>
          <c:idx val="2"/>
          <c:order val="2"/>
          <c:tx>
            <c:strRef>
              <c:f>Hoja6!$S$2</c:f>
              <c:strCache>
                <c:ptCount val="1"/>
                <c:pt idx="0">
                  <c:v>Inversión financiera</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Hoja6!$P$4:$P$19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Hoja6!$S$4:$S$19</c:f>
              <c:numCache>
                <c:formatCode>_(* #,##0_);_(* \(#,##0\);_(* "-"??_);_(@_)</c:formatCode>
                <c:ptCount val="16"/>
                <c:pt idx="0">
                  <c:v>0</c:v>
                </c:pt>
                <c:pt idx="1">
                  <c:v>0</c:v>
                </c:pt>
                <c:pt idx="2">
                  <c:v>0</c:v>
                </c:pt>
                <c:pt idx="3">
                  <c:v>0</c:v>
                </c:pt>
                <c:pt idx="4">
                  <c:v>0</c:v>
                </c:pt>
                <c:pt idx="5">
                  <c:v>0</c:v>
                </c:pt>
                <c:pt idx="6">
                  <c:v>0</c:v>
                </c:pt>
                <c:pt idx="7">
                  <c:v>0</c:v>
                </c:pt>
                <c:pt idx="8">
                  <c:v>24916</c:v>
                </c:pt>
                <c:pt idx="9">
                  <c:v>0</c:v>
                </c:pt>
                <c:pt idx="10">
                  <c:v>0</c:v>
                </c:pt>
                <c:pt idx="11">
                  <c:v>0</c:v>
                </c:pt>
                <c:pt idx="12">
                  <c:v>0</c:v>
                </c:pt>
                <c:pt idx="13">
                  <c:v>0</c:v>
                </c:pt>
                <c:pt idx="14">
                  <c:v>0</c:v>
                </c:pt>
                <c:pt idx="15">
                  <c:v>0</c:v>
                </c:pt>
              </c:numCache>
            </c:numRef>
          </c:val>
          <c:smooth val="1"/>
        </c:ser>
        <c:ser>
          <c:idx val="3"/>
          <c:order val="3"/>
          <c:tx>
            <c:strRef>
              <c:f>Hoja6!$T$2</c:f>
              <c:strCache>
                <c:ptCount val="1"/>
                <c:pt idx="0">
                  <c:v>Deuda pública</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Hoja6!$P$4:$P$19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Hoja6!$T$4:$T$19</c:f>
              <c:numCache>
                <c:formatCode>_(* #,##0_);_(* \(#,##0\);_(* "-"??_);_(@_)</c:formatCode>
                <c:ptCount val="16"/>
                <c:pt idx="0">
                  <c:v>0</c:v>
                </c:pt>
                <c:pt idx="1">
                  <c:v>232119</c:v>
                </c:pt>
                <c:pt idx="2">
                  <c:v>98434</c:v>
                </c:pt>
                <c:pt idx="3">
                  <c:v>0</c:v>
                </c:pt>
                <c:pt idx="4">
                  <c:v>1644941</c:v>
                </c:pt>
                <c:pt idx="5">
                  <c:v>8230811</c:v>
                </c:pt>
                <c:pt idx="6">
                  <c:v>12376838</c:v>
                </c:pt>
                <c:pt idx="7">
                  <c:v>39444175</c:v>
                </c:pt>
                <c:pt idx="8">
                  <c:v>4012321</c:v>
                </c:pt>
                <c:pt idx="9">
                  <c:v>320802</c:v>
                </c:pt>
                <c:pt idx="10">
                  <c:v>32951989</c:v>
                </c:pt>
                <c:pt idx="11">
                  <c:v>6776163</c:v>
                </c:pt>
                <c:pt idx="12">
                  <c:v>42599541</c:v>
                </c:pt>
                <c:pt idx="13">
                  <c:v>56573739</c:v>
                </c:pt>
                <c:pt idx="14">
                  <c:v>6465492</c:v>
                </c:pt>
                <c:pt idx="15">
                  <c:v>0</c:v>
                </c:pt>
              </c:numCache>
            </c:numRef>
          </c:val>
          <c:smooth val="1"/>
        </c:ser>
        <c:marker val="1"/>
        <c:axId val="90972928"/>
        <c:axId val="90974848"/>
      </c:lineChart>
      <c:catAx>
        <c:axId val="90972928"/>
        <c:scaling>
          <c:orientation val="minMax"/>
        </c:scaling>
        <c:axPos val="b"/>
        <c:numFmt formatCode="General" sourceLinked="1"/>
        <c:majorTickMark val="none"/>
        <c:tickLblPos val="nextTo"/>
        <c:txPr>
          <a:bodyPr/>
          <a:lstStyle/>
          <a:p>
            <a:pPr>
              <a:defRPr sz="900"/>
            </a:pPr>
            <a:endParaRPr lang="es-MX"/>
          </a:p>
        </c:txPr>
        <c:crossAx val="90974848"/>
        <c:crosses val="autoZero"/>
        <c:auto val="1"/>
        <c:lblAlgn val="ctr"/>
        <c:lblOffset val="100"/>
      </c:catAx>
      <c:valAx>
        <c:axId val="90974848"/>
        <c:scaling>
          <c:orientation val="minMax"/>
        </c:scaling>
        <c:axPos val="l"/>
        <c:numFmt formatCode="_(* #,##0_);_(* \(#,##0\);_(* &quot;-&quot;??_);_(@_)" sourceLinked="1"/>
        <c:majorTickMark val="none"/>
        <c:tickLblPos val="nextTo"/>
        <c:txPr>
          <a:bodyPr/>
          <a:lstStyle/>
          <a:p>
            <a:pPr>
              <a:defRPr sz="900"/>
            </a:pPr>
            <a:endParaRPr lang="es-MX"/>
          </a:p>
        </c:txPr>
        <c:crossAx val="90972928"/>
        <c:crosses val="autoZero"/>
        <c:crossBetween val="between"/>
      </c:valAx>
    </c:plotArea>
    <c:legend>
      <c:legendPos val="r"/>
      <c:layout>
        <c:manualLayout>
          <c:xMode val="edge"/>
          <c:yMode val="edge"/>
          <c:x val="0.22162410646705311"/>
          <c:y val="0.33093098556519213"/>
          <c:w val="0.41696807406917097"/>
          <c:h val="0.2839303315309008"/>
        </c:manualLayout>
      </c:layout>
    </c:legend>
    <c:plotVisOnly val="1"/>
  </c:chart>
  <c:spPr>
    <a:effectLst>
      <a:outerShdw blurRad="50800" dist="38100" dir="2700000" algn="tl" rotWithShape="0">
        <a:prstClr val="black">
          <a:alpha val="40000"/>
        </a:prstClr>
      </a:outerShdw>
    </a:effectLst>
  </c:spPr>
  <c:externalData r:id="rId1"/>
</c:chartSpace>
</file>

<file path=word/charts/chart93.xml><?xml version="1.0" encoding="utf-8"?>
<c:chartSpace xmlns:c="http://schemas.openxmlformats.org/drawingml/2006/chart" xmlns:a="http://schemas.openxmlformats.org/drawingml/2006/main" xmlns:r="http://schemas.openxmlformats.org/officeDocument/2006/relationships">
  <c:date1904 val="1"/>
  <c:lang val="es-MX"/>
  <c:roundedCorners val="1"/>
  <c:chart>
    <c:title>
      <c:tx>
        <c:rich>
          <a:bodyPr/>
          <a:lstStyle/>
          <a:p>
            <a:pPr>
              <a:defRPr sz="1200"/>
            </a:pPr>
            <a:r>
              <a:rPr lang="es-MX" sz="1200"/>
              <a:t>COATZACOALCOS.GASTO</a:t>
            </a:r>
            <a:r>
              <a:rPr lang="es-MX" sz="1200" baseline="0"/>
              <a:t> CORRIENTE POR RUBRO. 1990-2005</a:t>
            </a:r>
          </a:p>
          <a:p>
            <a:pPr>
              <a:defRPr sz="1200"/>
            </a:pPr>
            <a:r>
              <a:rPr lang="es-MX" sz="1200" baseline="0"/>
              <a:t>(Pesos corrientes)</a:t>
            </a:r>
            <a:endParaRPr lang="es-MX" sz="1200"/>
          </a:p>
        </c:rich>
      </c:tx>
      <c:spPr>
        <a:ln>
          <a:solidFill>
            <a:schemeClr val="tx1"/>
          </a:solidFill>
        </a:ln>
        <a:effectLst>
          <a:outerShdw blurRad="50800" dist="38100" dir="2700000" algn="tl" rotWithShape="0">
            <a:prstClr val="black">
              <a:alpha val="40000"/>
            </a:prstClr>
          </a:outerShdw>
        </a:effectLst>
        <a:scene3d>
          <a:camera prst="orthographicFront"/>
          <a:lightRig rig="threePt" dir="t"/>
        </a:scene3d>
        <a:sp3d>
          <a:bevelT/>
        </a:sp3d>
      </c:spPr>
    </c:title>
    <c:plotArea>
      <c:layout>
        <c:manualLayout>
          <c:layoutTarget val="inner"/>
          <c:xMode val="edge"/>
          <c:yMode val="edge"/>
          <c:x val="0.12004392255872846"/>
          <c:y val="0.17716422385711394"/>
          <c:w val="0.85110535849200464"/>
          <c:h val="0.78729088314526596"/>
        </c:manualLayout>
      </c:layout>
      <c:lineChart>
        <c:grouping val="standard"/>
        <c:ser>
          <c:idx val="0"/>
          <c:order val="0"/>
          <c:tx>
            <c:strRef>
              <c:f>Hoja6!$C$2</c:f>
              <c:strCache>
                <c:ptCount val="1"/>
                <c:pt idx="0">
                  <c:v>Servicios Personales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Hoja6!$A$4:$A$19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Hoja6!$C$4:$C$19</c:f>
              <c:numCache>
                <c:formatCode>_(* #,##0_);_(* \(#,##0\);_(* "-"??_);_(@_)</c:formatCode>
                <c:ptCount val="16"/>
                <c:pt idx="0">
                  <c:v>9082975</c:v>
                </c:pt>
                <c:pt idx="1">
                  <c:v>9401629</c:v>
                </c:pt>
                <c:pt idx="2">
                  <c:v>10532770</c:v>
                </c:pt>
                <c:pt idx="3">
                  <c:v>42865110</c:v>
                </c:pt>
                <c:pt idx="4">
                  <c:v>900092</c:v>
                </c:pt>
                <c:pt idx="5">
                  <c:v>2355931</c:v>
                </c:pt>
                <c:pt idx="6">
                  <c:v>38028449</c:v>
                </c:pt>
                <c:pt idx="7">
                  <c:v>50467763</c:v>
                </c:pt>
                <c:pt idx="8">
                  <c:v>64087071</c:v>
                </c:pt>
                <c:pt idx="9">
                  <c:v>85068052</c:v>
                </c:pt>
                <c:pt idx="10">
                  <c:v>103784280</c:v>
                </c:pt>
                <c:pt idx="11">
                  <c:v>117247267</c:v>
                </c:pt>
                <c:pt idx="12">
                  <c:v>215061793</c:v>
                </c:pt>
                <c:pt idx="13">
                  <c:v>145897011</c:v>
                </c:pt>
                <c:pt idx="14">
                  <c:v>201421429</c:v>
                </c:pt>
                <c:pt idx="15">
                  <c:v>189533420</c:v>
                </c:pt>
              </c:numCache>
            </c:numRef>
          </c:val>
          <c:smooth val="1"/>
        </c:ser>
        <c:ser>
          <c:idx val="1"/>
          <c:order val="1"/>
          <c:tx>
            <c:strRef>
              <c:f>Hoja6!$D$2</c:f>
              <c:strCache>
                <c:ptCount val="1"/>
                <c:pt idx="0">
                  <c:v>Materiales y Suministros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Hoja6!$A$4:$A$19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Hoja6!$D$4:$D$19</c:f>
              <c:numCache>
                <c:formatCode>_(* #,##0_);_(* \(#,##0\);_(* "-"??_);_(@_)</c:formatCode>
                <c:ptCount val="16"/>
                <c:pt idx="0">
                  <c:v>0</c:v>
                </c:pt>
                <c:pt idx="1">
                  <c:v>0</c:v>
                </c:pt>
                <c:pt idx="2">
                  <c:v>0</c:v>
                </c:pt>
                <c:pt idx="3">
                  <c:v>0</c:v>
                </c:pt>
                <c:pt idx="4">
                  <c:v>31348145</c:v>
                </c:pt>
                <c:pt idx="5">
                  <c:v>31204457</c:v>
                </c:pt>
                <c:pt idx="6">
                  <c:v>5739356</c:v>
                </c:pt>
                <c:pt idx="7">
                  <c:v>8340421</c:v>
                </c:pt>
                <c:pt idx="8">
                  <c:v>12524982</c:v>
                </c:pt>
                <c:pt idx="9">
                  <c:v>20477090</c:v>
                </c:pt>
                <c:pt idx="10">
                  <c:v>25294380</c:v>
                </c:pt>
                <c:pt idx="11">
                  <c:v>15207048</c:v>
                </c:pt>
                <c:pt idx="12">
                  <c:v>18292512</c:v>
                </c:pt>
                <c:pt idx="13">
                  <c:v>26913642</c:v>
                </c:pt>
                <c:pt idx="14">
                  <c:v>26624257</c:v>
                </c:pt>
                <c:pt idx="15">
                  <c:v>27911591</c:v>
                </c:pt>
              </c:numCache>
            </c:numRef>
          </c:val>
          <c:smooth val="1"/>
        </c:ser>
        <c:ser>
          <c:idx val="2"/>
          <c:order val="2"/>
          <c:tx>
            <c:strRef>
              <c:f>Hoja6!$E$2</c:f>
              <c:strCache>
                <c:ptCount val="1"/>
                <c:pt idx="0">
                  <c:v>Servicios Generales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Hoja6!$A$4:$A$19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Hoja6!$E$4:$E$19</c:f>
              <c:numCache>
                <c:formatCode>_(* #,##0_);_(* \(#,##0\);_(* "-"??_);_(@_)</c:formatCode>
                <c:ptCount val="16"/>
                <c:pt idx="0">
                  <c:v>0</c:v>
                </c:pt>
                <c:pt idx="1">
                  <c:v>0</c:v>
                </c:pt>
                <c:pt idx="2">
                  <c:v>0</c:v>
                </c:pt>
                <c:pt idx="3">
                  <c:v>0</c:v>
                </c:pt>
                <c:pt idx="4">
                  <c:v>26240691</c:v>
                </c:pt>
                <c:pt idx="5">
                  <c:v>38428279</c:v>
                </c:pt>
                <c:pt idx="6">
                  <c:v>22921736</c:v>
                </c:pt>
                <c:pt idx="7">
                  <c:v>58242627</c:v>
                </c:pt>
                <c:pt idx="8">
                  <c:v>80423580</c:v>
                </c:pt>
                <c:pt idx="9">
                  <c:v>116292783</c:v>
                </c:pt>
                <c:pt idx="10">
                  <c:v>84836020</c:v>
                </c:pt>
                <c:pt idx="11">
                  <c:v>106340879</c:v>
                </c:pt>
                <c:pt idx="12">
                  <c:v>80960021</c:v>
                </c:pt>
                <c:pt idx="13">
                  <c:v>84735364</c:v>
                </c:pt>
                <c:pt idx="14">
                  <c:v>96511217</c:v>
                </c:pt>
                <c:pt idx="15">
                  <c:v>106157466</c:v>
                </c:pt>
              </c:numCache>
            </c:numRef>
          </c:val>
          <c:smooth val="1"/>
        </c:ser>
        <c:ser>
          <c:idx val="3"/>
          <c:order val="3"/>
          <c:tx>
            <c:strRef>
              <c:f>Hoja6!$F$2</c:f>
              <c:strCache>
                <c:ptCount val="1"/>
                <c:pt idx="0">
                  <c:v>Subsidios, transferencias y ayudas</c:v>
                </c:pt>
              </c:strCache>
            </c:strRef>
          </c:tx>
          <c:spPr>
            <a:ln w="15875"/>
            <a:effectLst>
              <a:outerShdw blurRad="50800" dist="38100" dir="2700000" algn="tl" rotWithShape="0">
                <a:prstClr val="black">
                  <a:alpha val="40000"/>
                </a:prstClr>
              </a:outerShdw>
            </a:effectLst>
          </c:spPr>
          <c:marker>
            <c:spPr>
              <a:effectLst>
                <a:outerShdw blurRad="50800" dist="38100" dir="2700000" algn="tl" rotWithShape="0">
                  <a:prstClr val="black">
                    <a:alpha val="40000"/>
                  </a:prstClr>
                </a:outerShdw>
              </a:effectLst>
              <a:scene3d>
                <a:camera prst="orthographicFront"/>
                <a:lightRig rig="threePt" dir="t"/>
              </a:scene3d>
              <a:sp3d>
                <a:bevelT/>
              </a:sp3d>
            </c:spPr>
          </c:marker>
          <c:cat>
            <c:numRef>
              <c:f>Hoja6!$A$4:$A$19</c:f>
              <c:numCache>
                <c:formatCode>General</c:formatCode>
                <c:ptCount val="16"/>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numCache>
            </c:numRef>
          </c:cat>
          <c:val>
            <c:numRef>
              <c:f>Hoja6!$F$4:$F$19</c:f>
              <c:numCache>
                <c:formatCode>_(* #,##0_);_(* \(#,##0\);_(* "-"??_);_(@_)</c:formatCode>
                <c:ptCount val="16"/>
                <c:pt idx="0">
                  <c:v>2087892</c:v>
                </c:pt>
                <c:pt idx="1">
                  <c:v>2498571</c:v>
                </c:pt>
                <c:pt idx="2">
                  <c:v>2450160</c:v>
                </c:pt>
                <c:pt idx="3">
                  <c:v>2583558</c:v>
                </c:pt>
                <c:pt idx="4">
                  <c:v>6724883</c:v>
                </c:pt>
                <c:pt idx="5">
                  <c:v>7658844</c:v>
                </c:pt>
                <c:pt idx="6">
                  <c:v>9673061</c:v>
                </c:pt>
                <c:pt idx="7">
                  <c:v>13029473</c:v>
                </c:pt>
                <c:pt idx="8">
                  <c:v>8126434</c:v>
                </c:pt>
                <c:pt idx="9">
                  <c:v>13693111</c:v>
                </c:pt>
                <c:pt idx="10">
                  <c:v>15331533</c:v>
                </c:pt>
                <c:pt idx="11">
                  <c:v>24358284</c:v>
                </c:pt>
                <c:pt idx="12">
                  <c:v>13017680</c:v>
                </c:pt>
                <c:pt idx="13">
                  <c:v>24933702</c:v>
                </c:pt>
                <c:pt idx="14">
                  <c:v>31497771</c:v>
                </c:pt>
                <c:pt idx="15">
                  <c:v>31045613</c:v>
                </c:pt>
              </c:numCache>
            </c:numRef>
          </c:val>
          <c:smooth val="1"/>
        </c:ser>
        <c:marker val="1"/>
        <c:axId val="91008000"/>
        <c:axId val="91010176"/>
      </c:lineChart>
      <c:catAx>
        <c:axId val="91008000"/>
        <c:scaling>
          <c:orientation val="minMax"/>
        </c:scaling>
        <c:axPos val="b"/>
        <c:numFmt formatCode="General" sourceLinked="1"/>
        <c:majorTickMark val="none"/>
        <c:tickLblPos val="nextTo"/>
        <c:crossAx val="91010176"/>
        <c:crosses val="autoZero"/>
        <c:auto val="1"/>
        <c:lblAlgn val="ctr"/>
        <c:lblOffset val="100"/>
      </c:catAx>
      <c:valAx>
        <c:axId val="91010176"/>
        <c:scaling>
          <c:orientation val="minMax"/>
        </c:scaling>
        <c:axPos val="l"/>
        <c:numFmt formatCode="_(* #,##0_);_(* \(#,##0\);_(* &quot;-&quot;??_);_(@_)" sourceLinked="1"/>
        <c:majorTickMark val="none"/>
        <c:tickLblPos val="nextTo"/>
        <c:crossAx val="91008000"/>
        <c:crosses val="autoZero"/>
        <c:crossBetween val="between"/>
      </c:valAx>
    </c:plotArea>
    <c:legend>
      <c:legendPos val="r"/>
      <c:layout>
        <c:manualLayout>
          <c:xMode val="edge"/>
          <c:yMode val="edge"/>
          <c:x val="0.17020730986485341"/>
          <c:y val="0.21289435559354791"/>
          <c:w val="0.39805953133562727"/>
          <c:h val="0.28279432491454881"/>
        </c:manualLayout>
      </c:layout>
    </c:legend>
    <c:plotVisOnly val="1"/>
  </c:chart>
  <c:spPr>
    <a:effectLst>
      <a:outerShdw blurRad="50800" dist="38100" dir="2700000" algn="tl" rotWithShape="0">
        <a:prstClr val="black">
          <a:alpha val="40000"/>
        </a:prstClr>
      </a:outerShdw>
    </a:effectLst>
  </c:spPr>
  <c:externalData r:id="rId1"/>
</c:chartSpace>
</file>

<file path=word/drawings/_rels/drawing2.xml.rels><?xml version="1.0" encoding="UTF-8" standalone="yes"?>
<Relationships xmlns="http://schemas.openxmlformats.org/package/2006/relationships"><Relationship Id="rId1" Type="http://schemas.openxmlformats.org/officeDocument/2006/relationships/image" Target="../media/image10.png"/></Relationships>
</file>

<file path=word/drawings/drawing1.xml><?xml version="1.0" encoding="utf-8"?>
<c:userShapes xmlns:c="http://schemas.openxmlformats.org/drawingml/2006/chart">
  <cdr:relSizeAnchor xmlns:cdr="http://schemas.openxmlformats.org/drawingml/2006/chartDrawing">
    <cdr:from>
      <cdr:x>0.4743</cdr:x>
      <cdr:y>0.15415</cdr:y>
    </cdr:from>
    <cdr:to>
      <cdr:x>0.4743</cdr:x>
      <cdr:y>0.15415</cdr:y>
    </cdr:to>
    <cdr:grpSp>
      <cdr:nvGrpSpPr>
        <cdr:cNvPr id="814081" name="Group 2"/>
        <cdr:cNvGrpSpPr>
          <a:grpSpLocks xmlns:a="http://schemas.openxmlformats.org/drawingml/2006/main"/>
        </cdr:cNvGrpSpPr>
      </cdr:nvGrpSpPr>
      <cdr:grpSpPr bwMode="auto">
        <a:xfrm xmlns:a="http://schemas.openxmlformats.org/drawingml/2006/main">
          <a:off x="2038088" y="438820"/>
          <a:ext cx="0" cy="0"/>
          <a:chOff x="2038088" y="438820"/>
          <a:chExt cx="0" cy="0"/>
        </a:xfrm>
      </cdr:grpSpPr>
      <cdr:sp macro="" textlink="">
        <cdr:nvSpPr>
          <cdr:cNvPr id="3" name="Freeform 3"/>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50000"/>
            </a:srgbClr>
          </a:solidFill>
          <a:ln xmlns:a="http://schemas.openxmlformats.org/drawingml/2006/main" w="3175" cap="flat" cmpd="sng">
            <a:solidFill>
              <a:srgbClr val="000000"/>
            </a:solidFill>
            <a:prstDash val="solid"/>
            <a:round/>
            <a:headEnd/>
            <a:tailEnd/>
          </a:ln>
          <a:effectLst xmlns:a="http://schemas.openxmlformats.org/drawingml/2006/main"/>
        </cdr:spPr>
      </cdr:sp>
      <cdr:sp macro="" textlink="">
        <cdr:nvSpPr>
          <cdr:cNvPr id="4" name="Oval 4"/>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50000"/>
            </a:srgbClr>
          </a:solidFill>
          <a:ln xmlns:a="http://schemas.openxmlformats.org/drawingml/2006/main" w="0" algn="ctr">
            <a:solidFill>
              <a:srgbClr val="000000"/>
            </a:solidFill>
            <a:round/>
            <a:headEnd/>
            <a:tailEnd/>
          </a:ln>
          <a:effectLst xmlns:a="http://schemas.openxmlformats.org/drawingml/2006/main"/>
        </cdr:spPr>
      </cdr:sp>
      <cdr:sp macro="" textlink="">
        <cdr:nvSpPr>
          <cdr:cNvPr id="5" name="Freeform 5"/>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60001"/>
            </a:srgbClr>
          </a:solidFill>
          <a:ln xmlns:a="http://schemas.openxmlformats.org/drawingml/2006/main" w="0" cap="flat" cmpd="sng">
            <a:solidFill>
              <a:srgbClr val="000000"/>
            </a:solidFill>
            <a:prstDash val="solid"/>
            <a:round/>
            <a:headEnd type="none" w="med" len="med"/>
            <a:tailEnd type="none" w="med" len="med"/>
          </a:ln>
          <a:effectLst xmlns:a="http://schemas.openxmlformats.org/drawingml/2006/main"/>
        </cdr:spPr>
      </cdr:sp>
      <cdr:sp macro="" textlink="">
        <cdr:nvSpPr>
          <cdr:cNvPr id="6" name="Oval 6"/>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60001"/>
            </a:srgbClr>
          </a:solidFill>
          <a:ln xmlns:a="http://schemas.openxmlformats.org/drawingml/2006/main" w="0" algn="ctr">
            <a:solidFill>
              <a:srgbClr val="000000"/>
            </a:solidFill>
            <a:round/>
            <a:headEnd/>
            <a:tailEnd/>
          </a:ln>
          <a:effectLst xmlns:a="http://schemas.openxmlformats.org/drawingml/2006/main"/>
        </cdr:spPr>
      </cdr:sp>
    </cdr:grpSp>
  </cdr:relSizeAnchor>
  <cdr:relSizeAnchor xmlns:cdr="http://schemas.openxmlformats.org/drawingml/2006/chartDrawing">
    <cdr:from>
      <cdr:x>0.4743</cdr:x>
      <cdr:y>0.15415</cdr:y>
    </cdr:from>
    <cdr:to>
      <cdr:x>0.4743</cdr:x>
      <cdr:y>0.15415</cdr:y>
    </cdr:to>
    <cdr:grpSp>
      <cdr:nvGrpSpPr>
        <cdr:cNvPr id="814082" name="Group 2"/>
        <cdr:cNvGrpSpPr>
          <a:grpSpLocks xmlns:a="http://schemas.openxmlformats.org/drawingml/2006/main"/>
        </cdr:cNvGrpSpPr>
      </cdr:nvGrpSpPr>
      <cdr:grpSpPr bwMode="auto">
        <a:xfrm xmlns:a="http://schemas.openxmlformats.org/drawingml/2006/main">
          <a:off x="2038088" y="438820"/>
          <a:ext cx="0" cy="0"/>
          <a:chOff x="2038088" y="438820"/>
          <a:chExt cx="0" cy="0"/>
        </a:xfrm>
      </cdr:grpSpPr>
      <cdr:sp macro="" textlink="">
        <cdr:nvSpPr>
          <cdr:cNvPr id="8" name="Freeform 3"/>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50000"/>
            </a:srgbClr>
          </a:solidFill>
          <a:ln xmlns:a="http://schemas.openxmlformats.org/drawingml/2006/main" w="3175" cap="flat" cmpd="sng">
            <a:solidFill>
              <a:srgbClr val="000000"/>
            </a:solidFill>
            <a:prstDash val="solid"/>
            <a:round/>
            <a:headEnd/>
            <a:tailEnd/>
          </a:ln>
          <a:effectLst xmlns:a="http://schemas.openxmlformats.org/drawingml/2006/main"/>
        </cdr:spPr>
      </cdr:sp>
      <cdr:sp macro="" textlink="">
        <cdr:nvSpPr>
          <cdr:cNvPr id="9" name="Oval 4"/>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50000"/>
            </a:srgbClr>
          </a:solidFill>
          <a:ln xmlns:a="http://schemas.openxmlformats.org/drawingml/2006/main" w="0" algn="ctr">
            <a:solidFill>
              <a:srgbClr val="000000"/>
            </a:solidFill>
            <a:round/>
            <a:headEnd/>
            <a:tailEnd/>
          </a:ln>
          <a:effectLst xmlns:a="http://schemas.openxmlformats.org/drawingml/2006/main"/>
        </cdr:spPr>
      </cdr:sp>
      <cdr:sp macro="" textlink="">
        <cdr:nvSpPr>
          <cdr:cNvPr id="10" name="Freeform 5"/>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60001"/>
            </a:srgbClr>
          </a:solidFill>
          <a:ln xmlns:a="http://schemas.openxmlformats.org/drawingml/2006/main" w="0" cap="flat" cmpd="sng">
            <a:solidFill>
              <a:srgbClr val="000000"/>
            </a:solidFill>
            <a:prstDash val="solid"/>
            <a:round/>
            <a:headEnd type="none" w="med" len="med"/>
            <a:tailEnd type="none" w="med" len="med"/>
          </a:ln>
          <a:effectLst xmlns:a="http://schemas.openxmlformats.org/drawingml/2006/main"/>
        </cdr:spPr>
      </cdr:sp>
      <cdr:sp macro="" textlink="">
        <cdr:nvSpPr>
          <cdr:cNvPr id="11" name="Oval 6"/>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60001"/>
            </a:srgbClr>
          </a:solidFill>
          <a:ln xmlns:a="http://schemas.openxmlformats.org/drawingml/2006/main" w="0" algn="ctr">
            <a:solidFill>
              <a:srgbClr val="000000"/>
            </a:solidFill>
            <a:round/>
            <a:headEnd/>
            <a:tailEnd/>
          </a:ln>
          <a:effectLst xmlns:a="http://schemas.openxmlformats.org/drawingml/2006/main"/>
        </cdr:spPr>
      </cdr:sp>
    </cdr:grpSp>
  </cdr:relSizeAnchor>
  <cdr:relSizeAnchor xmlns:cdr="http://schemas.openxmlformats.org/drawingml/2006/chartDrawing">
    <cdr:from>
      <cdr:x>0.4743</cdr:x>
      <cdr:y>0.15415</cdr:y>
    </cdr:from>
    <cdr:to>
      <cdr:x>0.4743</cdr:x>
      <cdr:y>0.15415</cdr:y>
    </cdr:to>
    <cdr:grpSp>
      <cdr:nvGrpSpPr>
        <cdr:cNvPr id="814083" name="Group 2"/>
        <cdr:cNvGrpSpPr>
          <a:grpSpLocks xmlns:a="http://schemas.openxmlformats.org/drawingml/2006/main"/>
        </cdr:cNvGrpSpPr>
      </cdr:nvGrpSpPr>
      <cdr:grpSpPr bwMode="auto">
        <a:xfrm xmlns:a="http://schemas.openxmlformats.org/drawingml/2006/main">
          <a:off x="2038088" y="438820"/>
          <a:ext cx="0" cy="0"/>
          <a:chOff x="2038088" y="438820"/>
          <a:chExt cx="0" cy="0"/>
        </a:xfrm>
      </cdr:grpSpPr>
      <cdr:sp macro="" textlink="">
        <cdr:nvSpPr>
          <cdr:cNvPr id="13" name="Freeform 3"/>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50000"/>
            </a:srgbClr>
          </a:solidFill>
          <a:ln xmlns:a="http://schemas.openxmlformats.org/drawingml/2006/main" w="3175" cap="flat" cmpd="sng">
            <a:solidFill>
              <a:srgbClr val="000000"/>
            </a:solidFill>
            <a:prstDash val="solid"/>
            <a:round/>
            <a:headEnd/>
            <a:tailEnd/>
          </a:ln>
          <a:effectLst xmlns:a="http://schemas.openxmlformats.org/drawingml/2006/main"/>
        </cdr:spPr>
      </cdr:sp>
      <cdr:sp macro="" textlink="">
        <cdr:nvSpPr>
          <cdr:cNvPr id="14" name="Oval 4"/>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50000"/>
            </a:srgbClr>
          </a:solidFill>
          <a:ln xmlns:a="http://schemas.openxmlformats.org/drawingml/2006/main" w="0" algn="ctr">
            <a:solidFill>
              <a:srgbClr val="000000"/>
            </a:solidFill>
            <a:round/>
            <a:headEnd/>
            <a:tailEnd/>
          </a:ln>
          <a:effectLst xmlns:a="http://schemas.openxmlformats.org/drawingml/2006/main"/>
        </cdr:spPr>
      </cdr:sp>
      <cdr:sp macro="" textlink="">
        <cdr:nvSpPr>
          <cdr:cNvPr id="15" name="Freeform 5"/>
          <cdr:cNvSpPr>
            <a:spLocks xmlns:a="http://schemas.openxmlformats.org/drawingml/2006/main"/>
          </cdr:cNvSpPr>
        </cdr:nvSpPr>
        <cdr:spPr bwMode="auto">
          <a:xfrm xmlns:a="http://schemas.openxmlformats.org/drawingml/2006/main">
            <a:off x="0" y="0"/>
            <a:ext cx="0" cy="0"/>
          </a:xfrm>
          <a:custGeom xmlns:a="http://schemas.openxmlformats.org/drawingml/2006/main">
            <a:avLst/>
            <a:gdLst/>
            <a:ahLst/>
            <a:cxnLst>
              <a:cxn ang="0">
                <a:pos x="748" y="3"/>
              </a:cxn>
              <a:cxn ang="0">
                <a:pos x="779" y="12"/>
              </a:cxn>
              <a:cxn ang="0">
                <a:pos x="810" y="33"/>
              </a:cxn>
              <a:cxn ang="0">
                <a:pos x="833" y="59"/>
              </a:cxn>
              <a:cxn ang="0">
                <a:pos x="850" y="87"/>
              </a:cxn>
              <a:cxn ang="0">
                <a:pos x="862" y="124"/>
              </a:cxn>
              <a:cxn ang="0">
                <a:pos x="1001" y="657"/>
              </a:cxn>
              <a:cxn ang="0">
                <a:pos x="1002" y="692"/>
              </a:cxn>
              <a:cxn ang="0">
                <a:pos x="988" y="722"/>
              </a:cxn>
              <a:cxn ang="0">
                <a:pos x="959" y="743"/>
              </a:cxn>
              <a:cxn ang="0">
                <a:pos x="928" y="748"/>
              </a:cxn>
              <a:cxn ang="0">
                <a:pos x="900" y="742"/>
              </a:cxn>
              <a:cxn ang="0">
                <a:pos x="874" y="723"/>
              </a:cxn>
              <a:cxn ang="0">
                <a:pos x="858" y="694"/>
              </a:cxn>
              <a:cxn ang="0">
                <a:pos x="911" y="1080"/>
              </a:cxn>
              <a:cxn ang="0">
                <a:pos x="727" y="1679"/>
              </a:cxn>
              <a:cxn ang="0">
                <a:pos x="713" y="1710"/>
              </a:cxn>
              <a:cxn ang="0">
                <a:pos x="687" y="1733"/>
              </a:cxn>
              <a:cxn ang="0">
                <a:pos x="657" y="1744"/>
              </a:cxn>
              <a:cxn ang="0">
                <a:pos x="627" y="1745"/>
              </a:cxn>
              <a:cxn ang="0">
                <a:pos x="595" y="1735"/>
              </a:cxn>
              <a:cxn ang="0">
                <a:pos x="571" y="1715"/>
              </a:cxn>
              <a:cxn ang="0">
                <a:pos x="557" y="1692"/>
              </a:cxn>
              <a:cxn ang="0">
                <a:pos x="549" y="1666"/>
              </a:cxn>
              <a:cxn ang="0">
                <a:pos x="460" y="1666"/>
              </a:cxn>
              <a:cxn ang="0">
                <a:pos x="453" y="1692"/>
              </a:cxn>
              <a:cxn ang="0">
                <a:pos x="435" y="1719"/>
              </a:cxn>
              <a:cxn ang="0">
                <a:pos x="409" y="1737"/>
              </a:cxn>
              <a:cxn ang="0">
                <a:pos x="378" y="1746"/>
              </a:cxn>
              <a:cxn ang="0">
                <a:pos x="347" y="1744"/>
              </a:cxn>
              <a:cxn ang="0">
                <a:pos x="318" y="1731"/>
              </a:cxn>
              <a:cxn ang="0">
                <a:pos x="299" y="1712"/>
              </a:cxn>
              <a:cxn ang="0">
                <a:pos x="283" y="1684"/>
              </a:cxn>
              <a:cxn ang="0">
                <a:pos x="279" y="1084"/>
              </a:cxn>
              <a:cxn ang="0">
                <a:pos x="279" y="246"/>
              </a:cxn>
              <a:cxn ang="0">
                <a:pos x="138" y="726"/>
              </a:cxn>
              <a:cxn ang="0">
                <a:pos x="116" y="751"/>
              </a:cxn>
              <a:cxn ang="0">
                <a:pos x="83" y="761"/>
              </a:cxn>
              <a:cxn ang="0">
                <a:pos x="51" y="757"/>
              </a:cxn>
              <a:cxn ang="0">
                <a:pos x="21" y="739"/>
              </a:cxn>
              <a:cxn ang="0">
                <a:pos x="5" y="714"/>
              </a:cxn>
              <a:cxn ang="0">
                <a:pos x="0" y="686"/>
              </a:cxn>
              <a:cxn ang="0">
                <a:pos x="144" y="147"/>
              </a:cxn>
              <a:cxn ang="0">
                <a:pos x="149" y="113"/>
              </a:cxn>
              <a:cxn ang="0">
                <a:pos x="160" y="84"/>
              </a:cxn>
              <a:cxn ang="0">
                <a:pos x="180" y="50"/>
              </a:cxn>
              <a:cxn ang="0">
                <a:pos x="208" y="25"/>
              </a:cxn>
              <a:cxn ang="0">
                <a:pos x="240" y="8"/>
              </a:cxn>
            </a:cxnLst>
            <a:rect l="0" t="0" r="r" b="b"/>
            <a:pathLst>
              <a:path w="1003" h="1746">
                <a:moveTo>
                  <a:pt x="274" y="0"/>
                </a:moveTo>
                <a:lnTo>
                  <a:pt x="736" y="0"/>
                </a:lnTo>
                <a:lnTo>
                  <a:pt x="748" y="3"/>
                </a:lnTo>
                <a:lnTo>
                  <a:pt x="758" y="6"/>
                </a:lnTo>
                <a:lnTo>
                  <a:pt x="768" y="8"/>
                </a:lnTo>
                <a:lnTo>
                  <a:pt x="779" y="12"/>
                </a:lnTo>
                <a:lnTo>
                  <a:pt x="791" y="19"/>
                </a:lnTo>
                <a:lnTo>
                  <a:pt x="800" y="25"/>
                </a:lnTo>
                <a:lnTo>
                  <a:pt x="810" y="33"/>
                </a:lnTo>
                <a:lnTo>
                  <a:pt x="819" y="41"/>
                </a:lnTo>
                <a:lnTo>
                  <a:pt x="827" y="50"/>
                </a:lnTo>
                <a:lnTo>
                  <a:pt x="833" y="59"/>
                </a:lnTo>
                <a:lnTo>
                  <a:pt x="840" y="67"/>
                </a:lnTo>
                <a:lnTo>
                  <a:pt x="845" y="77"/>
                </a:lnTo>
                <a:lnTo>
                  <a:pt x="850" y="87"/>
                </a:lnTo>
                <a:lnTo>
                  <a:pt x="854" y="95"/>
                </a:lnTo>
                <a:lnTo>
                  <a:pt x="857" y="108"/>
                </a:lnTo>
                <a:lnTo>
                  <a:pt x="862" y="124"/>
                </a:lnTo>
                <a:lnTo>
                  <a:pt x="863" y="137"/>
                </a:lnTo>
                <a:lnTo>
                  <a:pt x="867" y="152"/>
                </a:lnTo>
                <a:lnTo>
                  <a:pt x="1001" y="657"/>
                </a:lnTo>
                <a:lnTo>
                  <a:pt x="1003" y="669"/>
                </a:lnTo>
                <a:lnTo>
                  <a:pt x="1003" y="681"/>
                </a:lnTo>
                <a:lnTo>
                  <a:pt x="1002" y="692"/>
                </a:lnTo>
                <a:lnTo>
                  <a:pt x="1000" y="703"/>
                </a:lnTo>
                <a:lnTo>
                  <a:pt x="994" y="712"/>
                </a:lnTo>
                <a:lnTo>
                  <a:pt x="988" y="722"/>
                </a:lnTo>
                <a:lnTo>
                  <a:pt x="979" y="731"/>
                </a:lnTo>
                <a:lnTo>
                  <a:pt x="968" y="738"/>
                </a:lnTo>
                <a:lnTo>
                  <a:pt x="959" y="743"/>
                </a:lnTo>
                <a:lnTo>
                  <a:pt x="949" y="745"/>
                </a:lnTo>
                <a:lnTo>
                  <a:pt x="939" y="748"/>
                </a:lnTo>
                <a:lnTo>
                  <a:pt x="928" y="748"/>
                </a:lnTo>
                <a:lnTo>
                  <a:pt x="918" y="747"/>
                </a:lnTo>
                <a:lnTo>
                  <a:pt x="907" y="744"/>
                </a:lnTo>
                <a:lnTo>
                  <a:pt x="900" y="742"/>
                </a:lnTo>
                <a:lnTo>
                  <a:pt x="890" y="736"/>
                </a:lnTo>
                <a:lnTo>
                  <a:pt x="881" y="730"/>
                </a:lnTo>
                <a:lnTo>
                  <a:pt x="874" y="723"/>
                </a:lnTo>
                <a:lnTo>
                  <a:pt x="867" y="713"/>
                </a:lnTo>
                <a:lnTo>
                  <a:pt x="862" y="703"/>
                </a:lnTo>
                <a:lnTo>
                  <a:pt x="858" y="694"/>
                </a:lnTo>
                <a:lnTo>
                  <a:pt x="728" y="247"/>
                </a:lnTo>
                <a:lnTo>
                  <a:pt x="684" y="247"/>
                </a:lnTo>
                <a:lnTo>
                  <a:pt x="911" y="1080"/>
                </a:lnTo>
                <a:lnTo>
                  <a:pt x="727" y="1080"/>
                </a:lnTo>
                <a:lnTo>
                  <a:pt x="730" y="1666"/>
                </a:lnTo>
                <a:lnTo>
                  <a:pt x="727" y="1679"/>
                </a:lnTo>
                <a:lnTo>
                  <a:pt x="724" y="1689"/>
                </a:lnTo>
                <a:lnTo>
                  <a:pt x="719" y="1699"/>
                </a:lnTo>
                <a:lnTo>
                  <a:pt x="713" y="1710"/>
                </a:lnTo>
                <a:lnTo>
                  <a:pt x="705" y="1718"/>
                </a:lnTo>
                <a:lnTo>
                  <a:pt x="698" y="1725"/>
                </a:lnTo>
                <a:lnTo>
                  <a:pt x="687" y="1733"/>
                </a:lnTo>
                <a:lnTo>
                  <a:pt x="678" y="1738"/>
                </a:lnTo>
                <a:lnTo>
                  <a:pt x="667" y="1742"/>
                </a:lnTo>
                <a:lnTo>
                  <a:pt x="657" y="1744"/>
                </a:lnTo>
                <a:lnTo>
                  <a:pt x="646" y="1746"/>
                </a:lnTo>
                <a:lnTo>
                  <a:pt x="637" y="1746"/>
                </a:lnTo>
                <a:lnTo>
                  <a:pt x="627" y="1745"/>
                </a:lnTo>
                <a:lnTo>
                  <a:pt x="615" y="1744"/>
                </a:lnTo>
                <a:lnTo>
                  <a:pt x="604" y="1738"/>
                </a:lnTo>
                <a:lnTo>
                  <a:pt x="595" y="1735"/>
                </a:lnTo>
                <a:lnTo>
                  <a:pt x="587" y="1729"/>
                </a:lnTo>
                <a:lnTo>
                  <a:pt x="578" y="1723"/>
                </a:lnTo>
                <a:lnTo>
                  <a:pt x="571" y="1715"/>
                </a:lnTo>
                <a:lnTo>
                  <a:pt x="565" y="1709"/>
                </a:lnTo>
                <a:lnTo>
                  <a:pt x="560" y="1699"/>
                </a:lnTo>
                <a:lnTo>
                  <a:pt x="557" y="1692"/>
                </a:lnTo>
                <a:lnTo>
                  <a:pt x="553" y="1684"/>
                </a:lnTo>
                <a:lnTo>
                  <a:pt x="550" y="1674"/>
                </a:lnTo>
                <a:lnTo>
                  <a:pt x="549" y="1666"/>
                </a:lnTo>
                <a:lnTo>
                  <a:pt x="549" y="1084"/>
                </a:lnTo>
                <a:lnTo>
                  <a:pt x="460" y="1084"/>
                </a:lnTo>
                <a:lnTo>
                  <a:pt x="460" y="1666"/>
                </a:lnTo>
                <a:lnTo>
                  <a:pt x="458" y="1675"/>
                </a:lnTo>
                <a:lnTo>
                  <a:pt x="456" y="1684"/>
                </a:lnTo>
                <a:lnTo>
                  <a:pt x="453" y="1692"/>
                </a:lnTo>
                <a:lnTo>
                  <a:pt x="448" y="1701"/>
                </a:lnTo>
                <a:lnTo>
                  <a:pt x="441" y="1710"/>
                </a:lnTo>
                <a:lnTo>
                  <a:pt x="435" y="1719"/>
                </a:lnTo>
                <a:lnTo>
                  <a:pt x="428" y="1725"/>
                </a:lnTo>
                <a:lnTo>
                  <a:pt x="418" y="1732"/>
                </a:lnTo>
                <a:lnTo>
                  <a:pt x="409" y="1737"/>
                </a:lnTo>
                <a:lnTo>
                  <a:pt x="399" y="1742"/>
                </a:lnTo>
                <a:lnTo>
                  <a:pt x="388" y="1744"/>
                </a:lnTo>
                <a:lnTo>
                  <a:pt x="378" y="1746"/>
                </a:lnTo>
                <a:lnTo>
                  <a:pt x="367" y="1746"/>
                </a:lnTo>
                <a:lnTo>
                  <a:pt x="357" y="1745"/>
                </a:lnTo>
                <a:lnTo>
                  <a:pt x="347" y="1744"/>
                </a:lnTo>
                <a:lnTo>
                  <a:pt x="338" y="1740"/>
                </a:lnTo>
                <a:lnTo>
                  <a:pt x="327" y="1736"/>
                </a:lnTo>
                <a:lnTo>
                  <a:pt x="318" y="1731"/>
                </a:lnTo>
                <a:lnTo>
                  <a:pt x="310" y="1725"/>
                </a:lnTo>
                <a:lnTo>
                  <a:pt x="303" y="1719"/>
                </a:lnTo>
                <a:lnTo>
                  <a:pt x="299" y="1712"/>
                </a:lnTo>
                <a:lnTo>
                  <a:pt x="292" y="1703"/>
                </a:lnTo>
                <a:lnTo>
                  <a:pt x="287" y="1694"/>
                </a:lnTo>
                <a:lnTo>
                  <a:pt x="283" y="1684"/>
                </a:lnTo>
                <a:lnTo>
                  <a:pt x="280" y="1675"/>
                </a:lnTo>
                <a:lnTo>
                  <a:pt x="279" y="1666"/>
                </a:lnTo>
                <a:lnTo>
                  <a:pt x="279" y="1084"/>
                </a:lnTo>
                <a:lnTo>
                  <a:pt x="101" y="1084"/>
                </a:lnTo>
                <a:lnTo>
                  <a:pt x="325" y="246"/>
                </a:lnTo>
                <a:lnTo>
                  <a:pt x="279" y="246"/>
                </a:lnTo>
                <a:lnTo>
                  <a:pt x="148" y="700"/>
                </a:lnTo>
                <a:lnTo>
                  <a:pt x="143" y="714"/>
                </a:lnTo>
                <a:lnTo>
                  <a:pt x="138" y="726"/>
                </a:lnTo>
                <a:lnTo>
                  <a:pt x="131" y="736"/>
                </a:lnTo>
                <a:lnTo>
                  <a:pt x="123" y="744"/>
                </a:lnTo>
                <a:lnTo>
                  <a:pt x="116" y="751"/>
                </a:lnTo>
                <a:lnTo>
                  <a:pt x="107" y="755"/>
                </a:lnTo>
                <a:lnTo>
                  <a:pt x="94" y="758"/>
                </a:lnTo>
                <a:lnTo>
                  <a:pt x="83" y="761"/>
                </a:lnTo>
                <a:lnTo>
                  <a:pt x="68" y="760"/>
                </a:lnTo>
                <a:lnTo>
                  <a:pt x="58" y="758"/>
                </a:lnTo>
                <a:lnTo>
                  <a:pt x="51" y="757"/>
                </a:lnTo>
                <a:lnTo>
                  <a:pt x="39" y="753"/>
                </a:lnTo>
                <a:lnTo>
                  <a:pt x="30" y="748"/>
                </a:lnTo>
                <a:lnTo>
                  <a:pt x="21" y="739"/>
                </a:lnTo>
                <a:lnTo>
                  <a:pt x="14" y="732"/>
                </a:lnTo>
                <a:lnTo>
                  <a:pt x="9" y="723"/>
                </a:lnTo>
                <a:lnTo>
                  <a:pt x="5" y="714"/>
                </a:lnTo>
                <a:lnTo>
                  <a:pt x="3" y="705"/>
                </a:lnTo>
                <a:lnTo>
                  <a:pt x="0" y="695"/>
                </a:lnTo>
                <a:lnTo>
                  <a:pt x="0" y="686"/>
                </a:lnTo>
                <a:lnTo>
                  <a:pt x="1" y="679"/>
                </a:lnTo>
                <a:lnTo>
                  <a:pt x="4" y="670"/>
                </a:lnTo>
                <a:lnTo>
                  <a:pt x="144" y="147"/>
                </a:lnTo>
                <a:lnTo>
                  <a:pt x="145" y="133"/>
                </a:lnTo>
                <a:lnTo>
                  <a:pt x="147" y="122"/>
                </a:lnTo>
                <a:lnTo>
                  <a:pt x="149" y="113"/>
                </a:lnTo>
                <a:lnTo>
                  <a:pt x="152" y="103"/>
                </a:lnTo>
                <a:lnTo>
                  <a:pt x="156" y="91"/>
                </a:lnTo>
                <a:lnTo>
                  <a:pt x="160" y="84"/>
                </a:lnTo>
                <a:lnTo>
                  <a:pt x="166" y="69"/>
                </a:lnTo>
                <a:lnTo>
                  <a:pt x="173" y="59"/>
                </a:lnTo>
                <a:lnTo>
                  <a:pt x="180" y="50"/>
                </a:lnTo>
                <a:lnTo>
                  <a:pt x="188" y="41"/>
                </a:lnTo>
                <a:lnTo>
                  <a:pt x="199" y="33"/>
                </a:lnTo>
                <a:lnTo>
                  <a:pt x="208" y="25"/>
                </a:lnTo>
                <a:lnTo>
                  <a:pt x="216" y="20"/>
                </a:lnTo>
                <a:lnTo>
                  <a:pt x="230" y="12"/>
                </a:lnTo>
                <a:lnTo>
                  <a:pt x="240" y="8"/>
                </a:lnTo>
                <a:lnTo>
                  <a:pt x="256" y="4"/>
                </a:lnTo>
                <a:lnTo>
                  <a:pt x="274" y="0"/>
                </a:lnTo>
                <a:close/>
              </a:path>
            </a:pathLst>
          </a:custGeom>
          <a:solidFill xmlns:a="http://schemas.openxmlformats.org/drawingml/2006/main">
            <a:srgbClr val="FF99CC">
              <a:alpha val="60001"/>
            </a:srgbClr>
          </a:solidFill>
          <a:ln xmlns:a="http://schemas.openxmlformats.org/drawingml/2006/main" w="0" cap="flat" cmpd="sng">
            <a:solidFill>
              <a:srgbClr val="000000"/>
            </a:solidFill>
            <a:prstDash val="solid"/>
            <a:round/>
            <a:headEnd type="none" w="med" len="med"/>
            <a:tailEnd type="none" w="med" len="med"/>
          </a:ln>
          <a:effectLst xmlns:a="http://schemas.openxmlformats.org/drawingml/2006/main"/>
        </cdr:spPr>
      </cdr:sp>
      <cdr:sp macro="" textlink="">
        <cdr:nvSpPr>
          <cdr:cNvPr id="16" name="Oval 6"/>
          <cdr:cNvSpPr>
            <a:spLocks xmlns:a="http://schemas.openxmlformats.org/drawingml/2006/main" noChangeArrowheads="1"/>
          </cdr:cNvSpPr>
        </cdr:nvSpPr>
        <cdr:spPr bwMode="auto">
          <a:xfrm xmlns:a="http://schemas.openxmlformats.org/drawingml/2006/main">
            <a:off x="0" y="0"/>
            <a:ext cx="0" cy="0"/>
          </a:xfrm>
          <a:prstGeom xmlns:a="http://schemas.openxmlformats.org/drawingml/2006/main" prst="ellipse">
            <a:avLst/>
          </a:prstGeom>
          <a:solidFill xmlns:a="http://schemas.openxmlformats.org/drawingml/2006/main">
            <a:srgbClr val="FF99CC">
              <a:alpha val="60001"/>
            </a:srgbClr>
          </a:solidFill>
          <a:ln xmlns:a="http://schemas.openxmlformats.org/drawingml/2006/main" w="0" algn="ctr">
            <a:solidFill>
              <a:srgbClr val="000000"/>
            </a:solidFill>
            <a:round/>
            <a:headEnd/>
            <a:tailEnd/>
          </a:ln>
          <a:effectLst xmlns:a="http://schemas.openxmlformats.org/drawingml/2006/main"/>
        </cdr:spPr>
      </cdr:sp>
    </cdr:grpSp>
  </cdr:relSizeAnchor>
</c:userShapes>
</file>

<file path=word/drawings/drawing2.xml><?xml version="1.0" encoding="utf-8"?>
<c:userShapes xmlns:c="http://schemas.openxmlformats.org/drawingml/2006/chart">
  <cdr:relSizeAnchor xmlns:cdr="http://schemas.openxmlformats.org/drawingml/2006/chartDrawing">
    <cdr:from>
      <cdr:x>0.01891</cdr:x>
      <cdr:y>0.91256</cdr:y>
    </cdr:from>
    <cdr:to>
      <cdr:x>0.50379</cdr:x>
      <cdr:y>1</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81352" y="2089329"/>
          <a:ext cx="2085714" cy="200000"/>
        </a:xfrm>
        <a:prstGeom xmlns:a="http://schemas.openxmlformats.org/drawingml/2006/main" prst="rect">
          <a:avLst/>
        </a:prstGeom>
      </cdr:spPr>
    </cdr:pic>
  </cdr:relSizeAnchor>
</c:userShapes>
</file>

<file path=word/drawings/drawing3.xml><?xml version="1.0" encoding="utf-8"?>
<c:userShapes xmlns:c="http://schemas.openxmlformats.org/drawingml/2006/chart">
  <cdr:relSizeAnchor xmlns:cdr="http://schemas.openxmlformats.org/drawingml/2006/chartDrawing">
    <cdr:from>
      <cdr:x>0.00293</cdr:x>
      <cdr:y>0.94565</cdr:y>
    </cdr:from>
    <cdr:to>
      <cdr:x>1</cdr:x>
      <cdr:y>1</cdr:y>
    </cdr:to>
    <cdr:sp macro="" textlink="">
      <cdr:nvSpPr>
        <cdr:cNvPr id="2" name="1 CuadroTexto"/>
        <cdr:cNvSpPr txBox="1"/>
      </cdr:nvSpPr>
      <cdr:spPr>
        <a:xfrm xmlns:a="http://schemas.openxmlformats.org/drawingml/2006/main">
          <a:off x="369795" y="3978088"/>
          <a:ext cx="3809999" cy="22411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r"/>
          <a:r>
            <a:rPr lang="es-MX" sz="700">
              <a:latin typeface="Arial" pitchFamily="34" charset="0"/>
              <a:cs typeface="Arial" pitchFamily="34" charset="0"/>
            </a:rPr>
            <a:t>Fuente: Elaborado</a:t>
          </a:r>
          <a:r>
            <a:rPr lang="es-MX" sz="700" baseline="0">
              <a:latin typeface="Arial" pitchFamily="34" charset="0"/>
              <a:cs typeface="Arial" pitchFamily="34" charset="0"/>
            </a:rPr>
            <a:t> con datos del Anuario Estadístico del estado de Verecruz 2008, INEGI</a:t>
          </a:r>
          <a:endParaRPr lang="es-MX" sz="700">
            <a:latin typeface="Arial" pitchFamily="34" charset="0"/>
            <a:cs typeface="Arial"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0.08554</cdr:x>
      <cdr:y>0.93381</cdr:y>
    </cdr:from>
    <cdr:to>
      <cdr:x>0.91005</cdr:x>
      <cdr:y>1</cdr:y>
    </cdr:to>
    <cdr:sp macro="" textlink="">
      <cdr:nvSpPr>
        <cdr:cNvPr id="2" name="1 CuadroTexto"/>
        <cdr:cNvSpPr txBox="1"/>
      </cdr:nvSpPr>
      <cdr:spPr>
        <a:xfrm xmlns:a="http://schemas.openxmlformats.org/drawingml/2006/main">
          <a:off x="398217" y="3322356"/>
          <a:ext cx="3838382" cy="23248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algn="ctr"/>
          <a:r>
            <a:rPr lang="es-MX" sz="700">
              <a:latin typeface="Arial" pitchFamily="34" charset="0"/>
              <a:cs typeface="Arial" pitchFamily="34" charset="0"/>
            </a:rPr>
            <a:t>Fuente: Elaborado</a:t>
          </a:r>
          <a:r>
            <a:rPr lang="es-MX" sz="700" baseline="0">
              <a:latin typeface="Arial" pitchFamily="34" charset="0"/>
              <a:cs typeface="Arial" pitchFamily="34" charset="0"/>
            </a:rPr>
            <a:t> con datos del Anuario Estadístico del estado de Verecruz 2008, INEGI</a:t>
          </a:r>
          <a:endParaRPr lang="es-MX" sz="700">
            <a:latin typeface="Arial" pitchFamily="34" charset="0"/>
            <a:cs typeface="Arial" pitchFamily="34" charset="0"/>
          </a:endParaRPr>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05917F-11CB-459A-85D1-D271A78591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1285</TotalTime>
  <Pages>114</Pages>
  <Words>12948</Words>
  <Characters>71215</Characters>
  <Application>Microsoft Office Word</Application>
  <DocSecurity>0</DocSecurity>
  <Lines>593</Lines>
  <Paragraphs>167</Paragraphs>
  <ScaleCrop>false</ScaleCrop>
  <HeadingPairs>
    <vt:vector size="2" baseType="variant">
      <vt:variant>
        <vt:lpstr>Título</vt:lpstr>
      </vt:variant>
      <vt:variant>
        <vt:i4>1</vt:i4>
      </vt:variant>
    </vt:vector>
  </HeadingPairs>
  <TitlesOfParts>
    <vt:vector size="1" baseType="lpstr">
      <vt:lpstr>Coatzacoalcos. Situación y perspectiva</vt:lpstr>
    </vt:vector>
  </TitlesOfParts>
  <Company>Hewlett-Packard</Company>
  <LinksUpToDate>false</LinksUpToDate>
  <CharactersWithSpaces>83996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Coatzacoalcos. Situación y perspectiva</dc:title>
  <dc:creator>Isela Flores</dc:creator>
  <cp:lastModifiedBy>Hilario</cp:lastModifiedBy>
  <cp:revision>77</cp:revision>
  <cp:lastPrinted>2009-06-22T17:12:00Z</cp:lastPrinted>
  <dcterms:created xsi:type="dcterms:W3CDTF">2009-06-16T01:18:00Z</dcterms:created>
  <dcterms:modified xsi:type="dcterms:W3CDTF">2011-12-21T03:36:00Z</dcterms:modified>
</cp:coreProperties>
</file>