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64" w:rsidRPr="00E86738" w:rsidRDefault="005E74F8" w:rsidP="005E74F8">
      <w:pPr>
        <w:jc w:val="center"/>
        <w:rPr>
          <w:rFonts w:ascii="Georgia" w:hAnsi="Georgia"/>
          <w:b/>
          <w:color w:val="17365D" w:themeColor="text2" w:themeShade="BF"/>
          <w:sz w:val="24"/>
        </w:rPr>
      </w:pPr>
      <w:r w:rsidRPr="00E86738">
        <w:rPr>
          <w:rFonts w:ascii="Georgia" w:hAnsi="Georgia"/>
          <w:b/>
          <w:color w:val="17365D" w:themeColor="text2" w:themeShade="BF"/>
          <w:sz w:val="24"/>
        </w:rPr>
        <w:t>LA TASA DE AHORRO DE LOS HOGARES ESPAÑOLES ANTE LA CRISIS ECONÓMICA. ANÁLISIS DE SUS CAUSAS Y EFECTOS</w:t>
      </w:r>
      <w:r w:rsidR="00791D0F" w:rsidRPr="00E86738">
        <w:rPr>
          <w:rStyle w:val="Refdenotaalpie"/>
          <w:rFonts w:ascii="Georgia" w:hAnsi="Georgia"/>
          <w:b/>
          <w:color w:val="17365D" w:themeColor="text2" w:themeShade="BF"/>
          <w:sz w:val="24"/>
        </w:rPr>
        <w:footnoteReference w:id="1"/>
      </w:r>
    </w:p>
    <w:p w:rsidR="00501AED" w:rsidRDefault="00501AED" w:rsidP="005E74F8">
      <w:pPr>
        <w:jc w:val="center"/>
        <w:rPr>
          <w:rFonts w:ascii="Georgia" w:hAnsi="Georgia"/>
          <w:b/>
          <w:sz w:val="24"/>
        </w:rPr>
      </w:pPr>
    </w:p>
    <w:p w:rsidR="00501AED" w:rsidRPr="00E86738" w:rsidRDefault="00501AED" w:rsidP="005E74F8">
      <w:pPr>
        <w:jc w:val="center"/>
        <w:rPr>
          <w:rFonts w:ascii="Georgia" w:hAnsi="Georgia"/>
          <w:color w:val="17365D" w:themeColor="text2" w:themeShade="BF"/>
          <w:sz w:val="28"/>
        </w:rPr>
      </w:pPr>
      <w:bookmarkStart w:id="0" w:name="_GoBack"/>
      <w:r w:rsidRPr="00E86738">
        <w:rPr>
          <w:rFonts w:ascii="Georgia" w:hAnsi="Georgia"/>
          <w:color w:val="17365D" w:themeColor="text2" w:themeShade="BF"/>
          <w:sz w:val="28"/>
        </w:rPr>
        <w:t>Francisco del Olmo García</w:t>
      </w:r>
    </w:p>
    <w:bookmarkEnd w:id="0"/>
    <w:p w:rsidR="00501AED" w:rsidRPr="00E86738" w:rsidRDefault="00501AED" w:rsidP="005E74F8">
      <w:pPr>
        <w:jc w:val="center"/>
        <w:rPr>
          <w:rFonts w:ascii="Georgia" w:hAnsi="Georgia"/>
          <w:i/>
          <w:color w:val="17365D" w:themeColor="text2" w:themeShade="BF"/>
          <w:sz w:val="28"/>
        </w:rPr>
      </w:pPr>
      <w:r w:rsidRPr="00E86738">
        <w:rPr>
          <w:rFonts w:ascii="Georgia" w:hAnsi="Georgia"/>
          <w:i/>
          <w:color w:val="17365D" w:themeColor="text2" w:themeShade="BF"/>
          <w:sz w:val="28"/>
        </w:rPr>
        <w:t>Economista</w:t>
      </w:r>
    </w:p>
    <w:p w:rsidR="005E7001" w:rsidRPr="006F0864" w:rsidRDefault="005E7001" w:rsidP="006F0864">
      <w:pPr>
        <w:rPr>
          <w:rFonts w:ascii="Georgia" w:hAnsi="Georgia"/>
          <w:b/>
          <w:sz w:val="24"/>
        </w:rPr>
      </w:pPr>
    </w:p>
    <w:p w:rsidR="000C6F52" w:rsidRPr="00E86738" w:rsidRDefault="002213ED" w:rsidP="005E7001">
      <w:pPr>
        <w:rPr>
          <w:b/>
          <w:color w:val="365F91" w:themeColor="accent1" w:themeShade="BF"/>
        </w:rPr>
      </w:pPr>
      <w:r w:rsidRPr="00E86738">
        <w:rPr>
          <w:b/>
          <w:color w:val="365F91" w:themeColor="accent1" w:themeShade="BF"/>
        </w:rPr>
        <w:t>RESUMEN</w:t>
      </w:r>
    </w:p>
    <w:p w:rsidR="002213ED" w:rsidRDefault="002213ED" w:rsidP="002213ED">
      <w:pPr>
        <w:jc w:val="both"/>
        <w:rPr>
          <w:bCs/>
        </w:rPr>
      </w:pPr>
      <w:r>
        <w:rPr>
          <w:bCs/>
        </w:rPr>
        <w:t xml:space="preserve">La crisis económica </w:t>
      </w:r>
      <w:r w:rsidR="00481A69">
        <w:rPr>
          <w:bCs/>
        </w:rPr>
        <w:t>ha tenido</w:t>
      </w:r>
      <w:r w:rsidR="005E74F8">
        <w:rPr>
          <w:bCs/>
        </w:rPr>
        <w:t xml:space="preserve"> </w:t>
      </w:r>
      <w:r>
        <w:rPr>
          <w:bCs/>
        </w:rPr>
        <w:t xml:space="preserve">una importante incidencia en las decisiones de los hogares españoles, </w:t>
      </w:r>
      <w:r w:rsidR="005E72A6">
        <w:rPr>
          <w:bCs/>
        </w:rPr>
        <w:t xml:space="preserve">en especial en </w:t>
      </w:r>
      <w:r w:rsidR="00501AED">
        <w:rPr>
          <w:bCs/>
        </w:rPr>
        <w:t xml:space="preserve">la </w:t>
      </w:r>
      <w:r>
        <w:rPr>
          <w:bCs/>
        </w:rPr>
        <w:t>tasa de ahorro familiar</w:t>
      </w:r>
      <w:r w:rsidR="005E74F8">
        <w:rPr>
          <w:bCs/>
        </w:rPr>
        <w:t xml:space="preserve"> que </w:t>
      </w:r>
      <w:r w:rsidR="005E72A6">
        <w:rPr>
          <w:bCs/>
        </w:rPr>
        <w:t>de situarse</w:t>
      </w:r>
      <w:r w:rsidR="005E74F8">
        <w:rPr>
          <w:bCs/>
        </w:rPr>
        <w:t xml:space="preserve"> en torno al 11%</w:t>
      </w:r>
      <w:r w:rsidR="00481A69">
        <w:rPr>
          <w:bCs/>
        </w:rPr>
        <w:t xml:space="preserve"> de la renta disponible bruta</w:t>
      </w:r>
      <w:r w:rsidR="005E72A6">
        <w:rPr>
          <w:bCs/>
        </w:rPr>
        <w:t xml:space="preserve"> en el inicio de la crisis</w:t>
      </w:r>
      <w:r w:rsidR="005E74F8">
        <w:rPr>
          <w:bCs/>
        </w:rPr>
        <w:t xml:space="preserve">, </w:t>
      </w:r>
      <w:r w:rsidR="005E72A6">
        <w:rPr>
          <w:bCs/>
        </w:rPr>
        <w:t>ha alcanzado</w:t>
      </w:r>
      <w:r>
        <w:rPr>
          <w:bCs/>
        </w:rPr>
        <w:t xml:space="preserve"> en 2009 el </w:t>
      </w:r>
      <w:r w:rsidR="00481A69">
        <w:rPr>
          <w:bCs/>
        </w:rPr>
        <w:t>18,8</w:t>
      </w:r>
      <w:r>
        <w:rPr>
          <w:bCs/>
        </w:rPr>
        <w:t>%. El presente trabajo busca indagar en las causas que han originado este cambio de tendencia. Para ello, se analiza si los cambios producidos se deben al ahorro bruto de los hogares o a la renta disponible</w:t>
      </w:r>
      <w:r w:rsidR="000D4E39">
        <w:rPr>
          <w:bCs/>
        </w:rPr>
        <w:t xml:space="preserve"> </w:t>
      </w:r>
      <w:r w:rsidR="000D4E39" w:rsidRPr="000D4E39">
        <w:rPr>
          <w:bCs/>
        </w:rPr>
        <w:t>bruta</w:t>
      </w:r>
      <w:r>
        <w:rPr>
          <w:bCs/>
        </w:rPr>
        <w:t xml:space="preserve">, concluyendo que es la primera magnitud la causante. </w:t>
      </w:r>
      <w:r w:rsidR="00344BD3">
        <w:rPr>
          <w:bCs/>
        </w:rPr>
        <w:t>S</w:t>
      </w:r>
      <w:r>
        <w:rPr>
          <w:bCs/>
        </w:rPr>
        <w:t>e han determinado como causas del cambio de tendencia del ahorro bruto la confianza de los consumidores, el desempleo y el efecto riqueza</w:t>
      </w:r>
      <w:r w:rsidR="000D4E39">
        <w:rPr>
          <w:bCs/>
        </w:rPr>
        <w:t xml:space="preserve"> de la vivienda. Además, la política de transferencias corrientes y la evolución de la inflación han permitido que durante el periodo estudiado se </w:t>
      </w:r>
      <w:r w:rsidR="000D4E39" w:rsidRPr="000D4E39">
        <w:t>haya</w:t>
      </w:r>
      <w:r w:rsidR="000D4E39">
        <w:rPr>
          <w:bCs/>
        </w:rPr>
        <w:t xml:space="preserve"> increment</w:t>
      </w:r>
      <w:r w:rsidR="005E72A6">
        <w:rPr>
          <w:bCs/>
        </w:rPr>
        <w:t>ado ligeramente la renta disponible b</w:t>
      </w:r>
      <w:r w:rsidR="000D4E39">
        <w:rPr>
          <w:bCs/>
        </w:rPr>
        <w:t xml:space="preserve">ruta, lo que ha impedido que la tasa de ahorro de los hogares haya sufrido un incremento mayor. </w:t>
      </w:r>
      <w:r w:rsidR="00344BD3">
        <w:rPr>
          <w:bCs/>
        </w:rPr>
        <w:t>El análisis de componentes principales unido al modelo econométrico estimado permite concluir que el factor con mayor influencia sobre la tasa de ahorro de los hogares es “Inflación/Paro”.</w:t>
      </w:r>
      <w:r w:rsidR="002544D7">
        <w:rPr>
          <w:bCs/>
        </w:rPr>
        <w:t xml:space="preserve"> </w:t>
      </w:r>
      <w:r>
        <w:rPr>
          <w:bCs/>
        </w:rPr>
        <w:t xml:space="preserve">Por último, en el trabajo se analizan las consecuencias del incremento de la tasa de ahorro familiar en la economía, estudiando sus efectos sobre el déficit por cuenta corriente de la Balanza de Pagos, sobre los niveles de precios y la competitividad de España, sobre el endeudamiento de las familias y sobre la actividad empresarial. </w:t>
      </w:r>
    </w:p>
    <w:p w:rsidR="005E7001" w:rsidRDefault="005E7001" w:rsidP="005E7001">
      <w:pPr>
        <w:rPr>
          <w:b/>
        </w:rPr>
      </w:pPr>
    </w:p>
    <w:p w:rsidR="002544D7" w:rsidRDefault="002544D7" w:rsidP="005E7001">
      <w:pPr>
        <w:rPr>
          <w:b/>
        </w:rPr>
      </w:pPr>
      <w:r>
        <w:rPr>
          <w:b/>
        </w:rPr>
        <w:t xml:space="preserve">Palabras clave: </w:t>
      </w:r>
      <w:r w:rsidRPr="002544D7">
        <w:t xml:space="preserve">Tasa de Ahorro de los Hogares, </w:t>
      </w:r>
      <w:r>
        <w:t xml:space="preserve">confianza, </w:t>
      </w:r>
      <w:r w:rsidRPr="002544D7">
        <w:t>desempleo,</w:t>
      </w:r>
      <w:r>
        <w:t xml:space="preserve"> riqueza inmobiliaria, inflación, transferencias corrientes.  </w:t>
      </w:r>
    </w:p>
    <w:p w:rsidR="002544D7" w:rsidRDefault="002544D7" w:rsidP="005E7001">
      <w:pPr>
        <w:rPr>
          <w:b/>
        </w:rPr>
      </w:pPr>
    </w:p>
    <w:p w:rsidR="002213ED" w:rsidRPr="00E86738" w:rsidRDefault="006F0864" w:rsidP="005E7001">
      <w:pPr>
        <w:rPr>
          <w:b/>
          <w:color w:val="365F91" w:themeColor="accent1" w:themeShade="BF"/>
          <w:lang w:val="en-US"/>
        </w:rPr>
      </w:pPr>
      <w:r w:rsidRPr="00E86738">
        <w:rPr>
          <w:b/>
          <w:color w:val="365F91" w:themeColor="accent1" w:themeShade="BF"/>
          <w:lang w:val="en-US"/>
        </w:rPr>
        <w:t>ABSTRACT</w:t>
      </w:r>
    </w:p>
    <w:p w:rsidR="003F27D5" w:rsidRPr="00501AED" w:rsidRDefault="00501AED" w:rsidP="00501AED">
      <w:pPr>
        <w:jc w:val="both"/>
        <w:rPr>
          <w:lang w:val="en-US"/>
        </w:rPr>
      </w:pPr>
      <w:r w:rsidRPr="00501AED">
        <w:rPr>
          <w:lang w:val="en-US"/>
        </w:rPr>
        <w:t xml:space="preserve">Economic crisis has had a </w:t>
      </w:r>
      <w:r w:rsidR="00C50D5F">
        <w:rPr>
          <w:lang w:val="en-US"/>
        </w:rPr>
        <w:t>significant</w:t>
      </w:r>
      <w:r>
        <w:rPr>
          <w:lang w:val="en-US"/>
        </w:rPr>
        <w:t xml:space="preserve"> impact </w:t>
      </w:r>
      <w:r w:rsidR="00C50D5F">
        <w:rPr>
          <w:lang w:val="en-US"/>
        </w:rPr>
        <w:t>on</w:t>
      </w:r>
      <w:r>
        <w:rPr>
          <w:lang w:val="en-US"/>
        </w:rPr>
        <w:t xml:space="preserve"> Spanish household</w:t>
      </w:r>
      <w:r w:rsidR="00C50D5F">
        <w:rPr>
          <w:lang w:val="en-US"/>
        </w:rPr>
        <w:t>s</w:t>
      </w:r>
      <w:r>
        <w:rPr>
          <w:lang w:val="en-US"/>
        </w:rPr>
        <w:t xml:space="preserve"> decisions, </w:t>
      </w:r>
      <w:r w:rsidR="00503241">
        <w:rPr>
          <w:lang w:val="en-US"/>
        </w:rPr>
        <w:t>especially</w:t>
      </w:r>
      <w:r>
        <w:rPr>
          <w:lang w:val="en-US"/>
        </w:rPr>
        <w:t xml:space="preserve"> in household saving rate, which ha</w:t>
      </w:r>
      <w:r w:rsidR="00C50D5F">
        <w:rPr>
          <w:lang w:val="en-US"/>
        </w:rPr>
        <w:t>s</w:t>
      </w:r>
      <w:r>
        <w:rPr>
          <w:lang w:val="en-US"/>
        </w:rPr>
        <w:t xml:space="preserve"> situated since </w:t>
      </w:r>
      <w:r w:rsidR="00C50D5F">
        <w:rPr>
          <w:lang w:val="en-US"/>
        </w:rPr>
        <w:t>around</w:t>
      </w:r>
      <w:r>
        <w:rPr>
          <w:lang w:val="en-US"/>
        </w:rPr>
        <w:t xml:space="preserve"> in 11% </w:t>
      </w:r>
      <w:r w:rsidR="005575E6">
        <w:rPr>
          <w:lang w:val="en-US"/>
        </w:rPr>
        <w:t>of</w:t>
      </w:r>
      <w:r w:rsidR="00C50D5F">
        <w:rPr>
          <w:lang w:val="en-US"/>
        </w:rPr>
        <w:t xml:space="preserve"> gross disposable income </w:t>
      </w:r>
      <w:r>
        <w:rPr>
          <w:lang w:val="en-US"/>
        </w:rPr>
        <w:t>at</w:t>
      </w:r>
      <w:r w:rsidR="00503241">
        <w:rPr>
          <w:lang w:val="en-US"/>
        </w:rPr>
        <w:t xml:space="preserve"> the</w:t>
      </w:r>
      <w:r>
        <w:rPr>
          <w:lang w:val="en-US"/>
        </w:rPr>
        <w:t xml:space="preserve"> beginning of </w:t>
      </w:r>
      <w:r w:rsidR="00C50D5F">
        <w:rPr>
          <w:lang w:val="en-US"/>
        </w:rPr>
        <w:t xml:space="preserve">the </w:t>
      </w:r>
      <w:r>
        <w:rPr>
          <w:lang w:val="en-US"/>
        </w:rPr>
        <w:t xml:space="preserve">crisis, </w:t>
      </w:r>
      <w:r w:rsidR="00503241">
        <w:rPr>
          <w:lang w:val="en-US"/>
        </w:rPr>
        <w:t>until</w:t>
      </w:r>
      <w:r>
        <w:rPr>
          <w:lang w:val="en-US"/>
        </w:rPr>
        <w:t xml:space="preserve"> 18</w:t>
      </w:r>
      <w:proofErr w:type="gramStart"/>
      <w:r w:rsidR="00503241">
        <w:rPr>
          <w:lang w:val="en-US"/>
        </w:rPr>
        <w:t>,</w:t>
      </w:r>
      <w:r w:rsidR="00A3424E">
        <w:rPr>
          <w:lang w:val="en-US"/>
        </w:rPr>
        <w:t>8</w:t>
      </w:r>
      <w:proofErr w:type="gramEnd"/>
      <w:r>
        <w:rPr>
          <w:lang w:val="en-US"/>
        </w:rPr>
        <w:t xml:space="preserve">% in 2009. This </w:t>
      </w:r>
      <w:r w:rsidR="003F27D5">
        <w:rPr>
          <w:lang w:val="en-US"/>
        </w:rPr>
        <w:t>paper</w:t>
      </w:r>
      <w:r>
        <w:rPr>
          <w:lang w:val="en-US"/>
        </w:rPr>
        <w:t xml:space="preserve"> tries to research about the causes of this tendency change. In order to approach this objective, we analyze if changes </w:t>
      </w:r>
      <w:r w:rsidR="00D12B3F">
        <w:rPr>
          <w:lang w:val="en-US"/>
        </w:rPr>
        <w:t>have</w:t>
      </w:r>
      <w:r>
        <w:rPr>
          <w:lang w:val="en-US"/>
        </w:rPr>
        <w:t xml:space="preserve"> </w:t>
      </w:r>
      <w:r w:rsidR="00D12B3F">
        <w:rPr>
          <w:lang w:val="en-US"/>
        </w:rPr>
        <w:t xml:space="preserve">been </w:t>
      </w:r>
      <w:r>
        <w:rPr>
          <w:lang w:val="en-US"/>
        </w:rPr>
        <w:t xml:space="preserve">produced by gross household saving or by gross </w:t>
      </w:r>
      <w:r w:rsidR="00C50D5F">
        <w:rPr>
          <w:lang w:val="en-US"/>
        </w:rPr>
        <w:t>disposable</w:t>
      </w:r>
      <w:r>
        <w:rPr>
          <w:lang w:val="en-US"/>
        </w:rPr>
        <w:t xml:space="preserve"> </w:t>
      </w:r>
      <w:r w:rsidR="00C50D5F">
        <w:rPr>
          <w:lang w:val="en-US"/>
        </w:rPr>
        <w:t>income</w:t>
      </w:r>
      <w:r>
        <w:rPr>
          <w:lang w:val="en-US"/>
        </w:rPr>
        <w:t>, concluding the cause is the fir</w:t>
      </w:r>
      <w:r w:rsidR="00A3424E">
        <w:rPr>
          <w:lang w:val="en-US"/>
        </w:rPr>
        <w:t xml:space="preserve">st variable. We has established as causes of household gross saving tendency change, the consumer confidence, unemployment and wealth effect of housing. </w:t>
      </w:r>
      <w:r w:rsidR="00C50D5F">
        <w:rPr>
          <w:lang w:val="en-US"/>
        </w:rPr>
        <w:t>In addition</w:t>
      </w:r>
      <w:r w:rsidR="00A3424E">
        <w:rPr>
          <w:lang w:val="en-US"/>
        </w:rPr>
        <w:t xml:space="preserve">, the currents transfers </w:t>
      </w:r>
      <w:r w:rsidR="00C50D5F">
        <w:rPr>
          <w:lang w:val="en-US"/>
        </w:rPr>
        <w:t xml:space="preserve">policy </w:t>
      </w:r>
      <w:r w:rsidR="00A3424E">
        <w:rPr>
          <w:lang w:val="en-US"/>
        </w:rPr>
        <w:t xml:space="preserve">and the evolution of inflation have let </w:t>
      </w:r>
      <w:r w:rsidR="00503241">
        <w:rPr>
          <w:lang w:val="en-US"/>
        </w:rPr>
        <w:t>a</w:t>
      </w:r>
      <w:r w:rsidR="00A3424E">
        <w:rPr>
          <w:lang w:val="en-US"/>
        </w:rPr>
        <w:t xml:space="preserve"> </w:t>
      </w:r>
      <w:r w:rsidR="00C50D5F">
        <w:rPr>
          <w:lang w:val="en-US"/>
        </w:rPr>
        <w:t>s</w:t>
      </w:r>
      <w:r w:rsidR="00A3424E">
        <w:rPr>
          <w:lang w:val="en-US"/>
        </w:rPr>
        <w:t>lightly increas</w:t>
      </w:r>
      <w:r w:rsidR="00C50D5F">
        <w:rPr>
          <w:lang w:val="en-US"/>
        </w:rPr>
        <w:t>ed</w:t>
      </w:r>
      <w:r w:rsidR="00A3424E">
        <w:rPr>
          <w:lang w:val="en-US"/>
        </w:rPr>
        <w:t xml:space="preserve"> of gr</w:t>
      </w:r>
      <w:r w:rsidR="001F1D71">
        <w:rPr>
          <w:lang w:val="en-US"/>
        </w:rPr>
        <w:t xml:space="preserve">oss </w:t>
      </w:r>
      <w:r w:rsidR="00C50D5F">
        <w:rPr>
          <w:lang w:val="en-US"/>
        </w:rPr>
        <w:t>disposable</w:t>
      </w:r>
      <w:r w:rsidR="001F1D71">
        <w:rPr>
          <w:lang w:val="en-US"/>
        </w:rPr>
        <w:t xml:space="preserve"> </w:t>
      </w:r>
      <w:r w:rsidR="00C50D5F">
        <w:rPr>
          <w:lang w:val="en-US"/>
        </w:rPr>
        <w:t>income during the study</w:t>
      </w:r>
      <w:r w:rsidR="00A3424E">
        <w:rPr>
          <w:lang w:val="en-US"/>
        </w:rPr>
        <w:t xml:space="preserve"> period, what has disabled a </w:t>
      </w:r>
      <w:r w:rsidR="00C50D5F">
        <w:rPr>
          <w:lang w:val="en-US"/>
        </w:rPr>
        <w:t>higher</w:t>
      </w:r>
      <w:r w:rsidR="00A3424E">
        <w:rPr>
          <w:lang w:val="en-US"/>
        </w:rPr>
        <w:t xml:space="preserve"> increase of household saving rate. </w:t>
      </w:r>
      <w:r w:rsidR="006145CF">
        <w:rPr>
          <w:lang w:val="en-US"/>
        </w:rPr>
        <w:t>On the other hand, the p</w:t>
      </w:r>
      <w:r w:rsidR="003F27D5">
        <w:rPr>
          <w:lang w:val="en-US"/>
        </w:rPr>
        <w:t xml:space="preserve">rincipal component analysis </w:t>
      </w:r>
      <w:r w:rsidR="00C50D5F">
        <w:rPr>
          <w:lang w:val="en-US"/>
        </w:rPr>
        <w:t>together</w:t>
      </w:r>
      <w:r w:rsidR="003F27D5">
        <w:rPr>
          <w:lang w:val="en-US"/>
        </w:rPr>
        <w:t xml:space="preserve"> the econometric model estimated </w:t>
      </w:r>
      <w:r w:rsidR="00C50D5F">
        <w:rPr>
          <w:lang w:val="en-US"/>
        </w:rPr>
        <w:t>allows us to</w:t>
      </w:r>
      <w:r w:rsidR="003F27D5">
        <w:rPr>
          <w:lang w:val="en-US"/>
        </w:rPr>
        <w:t xml:space="preserve"> conclude that the </w:t>
      </w:r>
      <w:r w:rsidR="00C50D5F">
        <w:rPr>
          <w:lang w:val="en-US"/>
        </w:rPr>
        <w:t>most influential factor</w:t>
      </w:r>
      <w:r w:rsidR="003F27D5">
        <w:rPr>
          <w:lang w:val="en-US"/>
        </w:rPr>
        <w:t xml:space="preserve"> </w:t>
      </w:r>
      <w:r w:rsidR="00C50D5F">
        <w:rPr>
          <w:lang w:val="en-US"/>
        </w:rPr>
        <w:t>on the</w:t>
      </w:r>
      <w:r w:rsidR="003F27D5">
        <w:rPr>
          <w:lang w:val="en-US"/>
        </w:rPr>
        <w:t xml:space="preserve"> household saving rate is “Inflation/Unemployment”.</w:t>
      </w:r>
      <w:r w:rsidR="002544D7">
        <w:rPr>
          <w:lang w:val="en-US"/>
        </w:rPr>
        <w:t xml:space="preserve"> </w:t>
      </w:r>
      <w:r w:rsidR="00C50D5F">
        <w:rPr>
          <w:lang w:val="en-US"/>
        </w:rPr>
        <w:t>Finally</w:t>
      </w:r>
      <w:r w:rsidR="00DD3E4E">
        <w:rPr>
          <w:lang w:val="en-US"/>
        </w:rPr>
        <w:t>,</w:t>
      </w:r>
      <w:r w:rsidR="000C03CC">
        <w:rPr>
          <w:lang w:val="en-US"/>
        </w:rPr>
        <w:t xml:space="preserve"> this paper analyze</w:t>
      </w:r>
      <w:r w:rsidR="00DD3E4E">
        <w:rPr>
          <w:lang w:val="en-US"/>
        </w:rPr>
        <w:t>s</w:t>
      </w:r>
      <w:r w:rsidR="003F27D5">
        <w:rPr>
          <w:lang w:val="en-US"/>
        </w:rPr>
        <w:t xml:space="preserve"> the consequences of household saving rate increased </w:t>
      </w:r>
      <w:r w:rsidR="000C03CC">
        <w:rPr>
          <w:lang w:val="en-US"/>
        </w:rPr>
        <w:t>on</w:t>
      </w:r>
      <w:r w:rsidR="003F27D5">
        <w:rPr>
          <w:lang w:val="en-US"/>
        </w:rPr>
        <w:t xml:space="preserve"> the economic, </w:t>
      </w:r>
      <w:r w:rsidR="00B352D5">
        <w:rPr>
          <w:lang w:val="en-US"/>
        </w:rPr>
        <w:t>studying</w:t>
      </w:r>
      <w:r w:rsidR="003F27D5">
        <w:rPr>
          <w:lang w:val="en-US"/>
        </w:rPr>
        <w:t xml:space="preserve"> </w:t>
      </w:r>
      <w:r w:rsidR="000C03CC">
        <w:rPr>
          <w:lang w:val="en-US"/>
        </w:rPr>
        <w:t xml:space="preserve">their </w:t>
      </w:r>
      <w:r w:rsidR="003F27D5">
        <w:rPr>
          <w:lang w:val="en-US"/>
        </w:rPr>
        <w:t xml:space="preserve">effects </w:t>
      </w:r>
      <w:r w:rsidR="000C03CC">
        <w:rPr>
          <w:lang w:val="en-US"/>
        </w:rPr>
        <w:t>on the</w:t>
      </w:r>
      <w:r w:rsidR="003F27D5">
        <w:rPr>
          <w:lang w:val="en-US"/>
        </w:rPr>
        <w:t xml:space="preserve"> current account deficit of Balance of Payments, prices level and Spanish competitiveness, households debt</w:t>
      </w:r>
      <w:r w:rsidR="00B352D5">
        <w:rPr>
          <w:lang w:val="en-US"/>
        </w:rPr>
        <w:t xml:space="preserve"> and business activity. </w:t>
      </w:r>
    </w:p>
    <w:p w:rsidR="006F0864" w:rsidRDefault="006F0864">
      <w:pPr>
        <w:rPr>
          <w:lang w:val="en-US"/>
        </w:rPr>
      </w:pPr>
    </w:p>
    <w:p w:rsidR="002544D7" w:rsidRPr="00DF0C30" w:rsidRDefault="002544D7" w:rsidP="002544D7">
      <w:pPr>
        <w:rPr>
          <w:b/>
          <w:lang w:val="en-US"/>
        </w:rPr>
      </w:pPr>
      <w:r w:rsidRPr="00DF0C30">
        <w:rPr>
          <w:b/>
          <w:lang w:val="en-US"/>
        </w:rPr>
        <w:t>Keywords</w:t>
      </w:r>
      <w:r w:rsidRPr="00DF0C30">
        <w:rPr>
          <w:lang w:val="en-US"/>
        </w:rPr>
        <w:t xml:space="preserve">: </w:t>
      </w:r>
      <w:r w:rsidR="00DF0C30" w:rsidRPr="00DF0C30">
        <w:rPr>
          <w:lang w:val="en-US"/>
        </w:rPr>
        <w:t>Household saving rate</w:t>
      </w:r>
      <w:r w:rsidRPr="00DF0C30">
        <w:rPr>
          <w:lang w:val="en-US"/>
        </w:rPr>
        <w:t xml:space="preserve">, </w:t>
      </w:r>
      <w:r w:rsidR="00DF0C30" w:rsidRPr="00DF0C30">
        <w:rPr>
          <w:lang w:val="en-US"/>
        </w:rPr>
        <w:t>consumer confidence</w:t>
      </w:r>
      <w:r w:rsidRPr="00DF0C30">
        <w:rPr>
          <w:lang w:val="en-US"/>
        </w:rPr>
        <w:t xml:space="preserve">, </w:t>
      </w:r>
      <w:r w:rsidR="00DF0C30" w:rsidRPr="00DF0C30">
        <w:rPr>
          <w:lang w:val="en-US"/>
        </w:rPr>
        <w:t>unemployment</w:t>
      </w:r>
      <w:r w:rsidRPr="00DF0C30">
        <w:rPr>
          <w:lang w:val="en-US"/>
        </w:rPr>
        <w:t xml:space="preserve">, </w:t>
      </w:r>
      <w:r w:rsidR="00DF0C30" w:rsidRPr="00DF0C30">
        <w:rPr>
          <w:lang w:val="en-US"/>
        </w:rPr>
        <w:t>housing wealth</w:t>
      </w:r>
      <w:r w:rsidRPr="00DF0C30">
        <w:rPr>
          <w:lang w:val="en-US"/>
        </w:rPr>
        <w:t xml:space="preserve">, </w:t>
      </w:r>
      <w:r w:rsidR="00DF0C30">
        <w:rPr>
          <w:lang w:val="en-US"/>
        </w:rPr>
        <w:t>inflation</w:t>
      </w:r>
      <w:r w:rsidRPr="00DF0C30">
        <w:rPr>
          <w:lang w:val="en-US"/>
        </w:rPr>
        <w:t xml:space="preserve">, </w:t>
      </w:r>
      <w:r w:rsidR="00DF0C30">
        <w:rPr>
          <w:lang w:val="en-US"/>
        </w:rPr>
        <w:t>currents transfers</w:t>
      </w:r>
      <w:r w:rsidRPr="00DF0C30">
        <w:rPr>
          <w:lang w:val="en-US"/>
        </w:rPr>
        <w:t xml:space="preserve">.  </w:t>
      </w:r>
    </w:p>
    <w:p w:rsidR="002544D7" w:rsidRPr="00DF0C30" w:rsidRDefault="002544D7">
      <w:pPr>
        <w:rPr>
          <w:lang w:val="en-US"/>
        </w:rPr>
      </w:pPr>
    </w:p>
    <w:p w:rsidR="002544D7" w:rsidRPr="00DF0C30" w:rsidRDefault="002544D7">
      <w:pPr>
        <w:rPr>
          <w:lang w:val="en-US"/>
        </w:rPr>
      </w:pPr>
    </w:p>
    <w:p w:rsidR="006F0864" w:rsidRPr="00E86738" w:rsidRDefault="006F0864" w:rsidP="005E7001">
      <w:pPr>
        <w:rPr>
          <w:b/>
          <w:color w:val="365F91" w:themeColor="accent1" w:themeShade="BF"/>
          <w:lang w:val="en-US"/>
        </w:rPr>
      </w:pPr>
      <w:r w:rsidRPr="00E86738">
        <w:rPr>
          <w:b/>
          <w:color w:val="365F91" w:themeColor="accent1" w:themeShade="BF"/>
          <w:lang w:val="en-US"/>
        </w:rPr>
        <w:t>ÍNDICE</w:t>
      </w:r>
    </w:p>
    <w:sdt>
      <w:sdtPr>
        <w:rPr>
          <w:rFonts w:ascii="Arial" w:eastAsia="Times New Roman" w:hAnsi="Arial" w:cs="Times New Roman"/>
          <w:b w:val="0"/>
          <w:bCs w:val="0"/>
          <w:color w:val="auto"/>
          <w:sz w:val="22"/>
          <w:szCs w:val="24"/>
        </w:rPr>
        <w:id w:val="1699897881"/>
        <w:docPartObj>
          <w:docPartGallery w:val="Table of Contents"/>
          <w:docPartUnique/>
        </w:docPartObj>
      </w:sdtPr>
      <w:sdtEndPr/>
      <w:sdtContent>
        <w:p w:rsidR="006B44D3" w:rsidRPr="00A3424E" w:rsidRDefault="006B44D3">
          <w:pPr>
            <w:pStyle w:val="TtulodeTDC"/>
            <w:rPr>
              <w:lang w:val="en-US"/>
            </w:rPr>
          </w:pPr>
        </w:p>
        <w:p w:rsidR="00026E95" w:rsidRDefault="006B44D3">
          <w:pPr>
            <w:pStyle w:val="TDC1"/>
            <w:tabs>
              <w:tab w:val="left" w:pos="440"/>
              <w:tab w:val="right" w:leader="dot" w:pos="8494"/>
            </w:tabs>
            <w:rPr>
              <w:rFonts w:asciiTheme="minorHAnsi" w:eastAsiaTheme="minorEastAsia" w:hAnsiTheme="minorHAnsi" w:cstheme="minorBidi"/>
              <w:noProof/>
              <w:szCs w:val="22"/>
            </w:rPr>
          </w:pPr>
          <w:r>
            <w:fldChar w:fldCharType="begin"/>
          </w:r>
          <w:r w:rsidRPr="00A3424E">
            <w:rPr>
              <w:lang w:val="en-US"/>
            </w:rPr>
            <w:instrText xml:space="preserve"> TOC \o "1-3" \h \z \u </w:instrText>
          </w:r>
          <w:r>
            <w:fldChar w:fldCharType="separate"/>
          </w:r>
          <w:hyperlink w:anchor="_Toc291939253" w:history="1">
            <w:r w:rsidR="00026E95" w:rsidRPr="00F44E46">
              <w:rPr>
                <w:rStyle w:val="Hipervnculo"/>
                <w:noProof/>
              </w:rPr>
              <w:t>1.</w:t>
            </w:r>
            <w:r w:rsidR="00026E95">
              <w:rPr>
                <w:rFonts w:asciiTheme="minorHAnsi" w:eastAsiaTheme="minorEastAsia" w:hAnsiTheme="minorHAnsi" w:cstheme="minorBidi"/>
                <w:noProof/>
                <w:szCs w:val="22"/>
              </w:rPr>
              <w:tab/>
            </w:r>
            <w:r w:rsidR="00026E95" w:rsidRPr="00F44E46">
              <w:rPr>
                <w:rStyle w:val="Hipervnculo"/>
                <w:noProof/>
              </w:rPr>
              <w:t>INTRODUCCIÓN</w:t>
            </w:r>
            <w:r w:rsidR="00026E95">
              <w:rPr>
                <w:noProof/>
                <w:webHidden/>
              </w:rPr>
              <w:tab/>
            </w:r>
            <w:r w:rsidR="00026E95">
              <w:rPr>
                <w:noProof/>
                <w:webHidden/>
              </w:rPr>
              <w:fldChar w:fldCharType="begin"/>
            </w:r>
            <w:r w:rsidR="00026E95">
              <w:rPr>
                <w:noProof/>
                <w:webHidden/>
              </w:rPr>
              <w:instrText xml:space="preserve"> PAGEREF _Toc291939253 \h </w:instrText>
            </w:r>
            <w:r w:rsidR="00026E95">
              <w:rPr>
                <w:noProof/>
                <w:webHidden/>
              </w:rPr>
            </w:r>
            <w:r w:rsidR="00026E95">
              <w:rPr>
                <w:noProof/>
                <w:webHidden/>
              </w:rPr>
              <w:fldChar w:fldCharType="separate"/>
            </w:r>
            <w:r w:rsidR="008A546C">
              <w:rPr>
                <w:noProof/>
                <w:webHidden/>
              </w:rPr>
              <w:t>3</w:t>
            </w:r>
            <w:r w:rsidR="00026E95">
              <w:rPr>
                <w:noProof/>
                <w:webHidden/>
              </w:rPr>
              <w:fldChar w:fldCharType="end"/>
            </w:r>
          </w:hyperlink>
        </w:p>
        <w:p w:rsidR="00026E95" w:rsidRDefault="00D503A4">
          <w:pPr>
            <w:pStyle w:val="TDC1"/>
            <w:tabs>
              <w:tab w:val="left" w:pos="440"/>
              <w:tab w:val="right" w:leader="dot" w:pos="8494"/>
            </w:tabs>
            <w:rPr>
              <w:rFonts w:asciiTheme="minorHAnsi" w:eastAsiaTheme="minorEastAsia" w:hAnsiTheme="minorHAnsi" w:cstheme="minorBidi"/>
              <w:noProof/>
              <w:szCs w:val="22"/>
            </w:rPr>
          </w:pPr>
          <w:hyperlink w:anchor="_Toc291939254" w:history="1">
            <w:r w:rsidR="00026E95" w:rsidRPr="00F44E46">
              <w:rPr>
                <w:rStyle w:val="Hipervnculo"/>
                <w:noProof/>
              </w:rPr>
              <w:t>2.</w:t>
            </w:r>
            <w:r w:rsidR="00026E95">
              <w:rPr>
                <w:rFonts w:asciiTheme="minorHAnsi" w:eastAsiaTheme="minorEastAsia" w:hAnsiTheme="minorHAnsi" w:cstheme="minorBidi"/>
                <w:noProof/>
                <w:szCs w:val="22"/>
              </w:rPr>
              <w:tab/>
            </w:r>
            <w:r w:rsidR="00026E95" w:rsidRPr="00F44E46">
              <w:rPr>
                <w:rStyle w:val="Hipervnculo"/>
                <w:noProof/>
              </w:rPr>
              <w:t>LITERATURA PREVIA</w:t>
            </w:r>
            <w:r w:rsidR="00026E95">
              <w:rPr>
                <w:noProof/>
                <w:webHidden/>
              </w:rPr>
              <w:tab/>
            </w:r>
            <w:r w:rsidR="00026E95">
              <w:rPr>
                <w:noProof/>
                <w:webHidden/>
              </w:rPr>
              <w:fldChar w:fldCharType="begin"/>
            </w:r>
            <w:r w:rsidR="00026E95">
              <w:rPr>
                <w:noProof/>
                <w:webHidden/>
              </w:rPr>
              <w:instrText xml:space="preserve"> PAGEREF _Toc291939254 \h </w:instrText>
            </w:r>
            <w:r w:rsidR="00026E95">
              <w:rPr>
                <w:noProof/>
                <w:webHidden/>
              </w:rPr>
            </w:r>
            <w:r w:rsidR="00026E95">
              <w:rPr>
                <w:noProof/>
                <w:webHidden/>
              </w:rPr>
              <w:fldChar w:fldCharType="separate"/>
            </w:r>
            <w:r w:rsidR="008A546C">
              <w:rPr>
                <w:noProof/>
                <w:webHidden/>
              </w:rPr>
              <w:t>4</w:t>
            </w:r>
            <w:r w:rsidR="00026E95">
              <w:rPr>
                <w:noProof/>
                <w:webHidden/>
              </w:rPr>
              <w:fldChar w:fldCharType="end"/>
            </w:r>
          </w:hyperlink>
        </w:p>
        <w:p w:rsidR="00026E95" w:rsidRDefault="00D503A4">
          <w:pPr>
            <w:pStyle w:val="TDC1"/>
            <w:tabs>
              <w:tab w:val="left" w:pos="440"/>
              <w:tab w:val="right" w:leader="dot" w:pos="8494"/>
            </w:tabs>
            <w:rPr>
              <w:rFonts w:asciiTheme="minorHAnsi" w:eastAsiaTheme="minorEastAsia" w:hAnsiTheme="minorHAnsi" w:cstheme="minorBidi"/>
              <w:noProof/>
              <w:szCs w:val="22"/>
            </w:rPr>
          </w:pPr>
          <w:hyperlink w:anchor="_Toc291939255" w:history="1">
            <w:r w:rsidR="00026E95" w:rsidRPr="00F44E46">
              <w:rPr>
                <w:rStyle w:val="Hipervnculo"/>
                <w:noProof/>
              </w:rPr>
              <w:t>3.</w:t>
            </w:r>
            <w:r w:rsidR="00026E95">
              <w:rPr>
                <w:rFonts w:asciiTheme="minorHAnsi" w:eastAsiaTheme="minorEastAsia" w:hAnsiTheme="minorHAnsi" w:cstheme="minorBidi"/>
                <w:noProof/>
                <w:szCs w:val="22"/>
              </w:rPr>
              <w:tab/>
            </w:r>
            <w:r w:rsidR="00026E95" w:rsidRPr="00F44E46">
              <w:rPr>
                <w:rStyle w:val="Hipervnculo"/>
                <w:noProof/>
              </w:rPr>
              <w:t>OBJETIVOS DEL TRABAJO</w:t>
            </w:r>
            <w:r w:rsidR="00026E95">
              <w:rPr>
                <w:noProof/>
                <w:webHidden/>
              </w:rPr>
              <w:tab/>
            </w:r>
            <w:r w:rsidR="00026E95">
              <w:rPr>
                <w:noProof/>
                <w:webHidden/>
              </w:rPr>
              <w:fldChar w:fldCharType="begin"/>
            </w:r>
            <w:r w:rsidR="00026E95">
              <w:rPr>
                <w:noProof/>
                <w:webHidden/>
              </w:rPr>
              <w:instrText xml:space="preserve"> PAGEREF _Toc291939255 \h </w:instrText>
            </w:r>
            <w:r w:rsidR="00026E95">
              <w:rPr>
                <w:noProof/>
                <w:webHidden/>
              </w:rPr>
            </w:r>
            <w:r w:rsidR="00026E95">
              <w:rPr>
                <w:noProof/>
                <w:webHidden/>
              </w:rPr>
              <w:fldChar w:fldCharType="separate"/>
            </w:r>
            <w:r w:rsidR="008A546C">
              <w:rPr>
                <w:noProof/>
                <w:webHidden/>
              </w:rPr>
              <w:t>6</w:t>
            </w:r>
            <w:r w:rsidR="00026E95">
              <w:rPr>
                <w:noProof/>
                <w:webHidden/>
              </w:rPr>
              <w:fldChar w:fldCharType="end"/>
            </w:r>
          </w:hyperlink>
        </w:p>
        <w:p w:rsidR="00026E95" w:rsidRDefault="00D503A4">
          <w:pPr>
            <w:pStyle w:val="TDC1"/>
            <w:tabs>
              <w:tab w:val="left" w:pos="440"/>
              <w:tab w:val="right" w:leader="dot" w:pos="8494"/>
            </w:tabs>
            <w:rPr>
              <w:rFonts w:asciiTheme="minorHAnsi" w:eastAsiaTheme="minorEastAsia" w:hAnsiTheme="minorHAnsi" w:cstheme="minorBidi"/>
              <w:noProof/>
              <w:szCs w:val="22"/>
            </w:rPr>
          </w:pPr>
          <w:hyperlink w:anchor="_Toc291939256" w:history="1">
            <w:r w:rsidR="00026E95" w:rsidRPr="00F44E46">
              <w:rPr>
                <w:rStyle w:val="Hipervnculo"/>
                <w:noProof/>
              </w:rPr>
              <w:t>4.</w:t>
            </w:r>
            <w:r w:rsidR="00026E95">
              <w:rPr>
                <w:rFonts w:asciiTheme="minorHAnsi" w:eastAsiaTheme="minorEastAsia" w:hAnsiTheme="minorHAnsi" w:cstheme="minorBidi"/>
                <w:noProof/>
                <w:szCs w:val="22"/>
              </w:rPr>
              <w:tab/>
            </w:r>
            <w:r w:rsidR="00026E95" w:rsidRPr="00F44E46">
              <w:rPr>
                <w:rStyle w:val="Hipervnculo"/>
                <w:noProof/>
              </w:rPr>
              <w:t>CAUSAS DE LA EVOLUCIÓN DE LA TASA DE AHORRO DE LOS HOGARES</w:t>
            </w:r>
            <w:r w:rsidR="00026E95">
              <w:rPr>
                <w:noProof/>
                <w:webHidden/>
              </w:rPr>
              <w:tab/>
            </w:r>
            <w:r w:rsidR="00026E95">
              <w:rPr>
                <w:noProof/>
                <w:webHidden/>
              </w:rPr>
              <w:fldChar w:fldCharType="begin"/>
            </w:r>
            <w:r w:rsidR="00026E95">
              <w:rPr>
                <w:noProof/>
                <w:webHidden/>
              </w:rPr>
              <w:instrText xml:space="preserve"> PAGEREF _Toc291939256 \h </w:instrText>
            </w:r>
            <w:r w:rsidR="00026E95">
              <w:rPr>
                <w:noProof/>
                <w:webHidden/>
              </w:rPr>
            </w:r>
            <w:r w:rsidR="00026E95">
              <w:rPr>
                <w:noProof/>
                <w:webHidden/>
              </w:rPr>
              <w:fldChar w:fldCharType="separate"/>
            </w:r>
            <w:r w:rsidR="008A546C">
              <w:rPr>
                <w:noProof/>
                <w:webHidden/>
              </w:rPr>
              <w:t>7</w:t>
            </w:r>
            <w:r w:rsidR="00026E95">
              <w:rPr>
                <w:noProof/>
                <w:webHidden/>
              </w:rPr>
              <w:fldChar w:fldCharType="end"/>
            </w:r>
          </w:hyperlink>
        </w:p>
        <w:p w:rsidR="00026E95" w:rsidRDefault="00D503A4">
          <w:pPr>
            <w:pStyle w:val="TDC2"/>
            <w:tabs>
              <w:tab w:val="left" w:pos="880"/>
              <w:tab w:val="right" w:leader="dot" w:pos="8494"/>
            </w:tabs>
            <w:rPr>
              <w:rFonts w:asciiTheme="minorHAnsi" w:eastAsiaTheme="minorEastAsia" w:hAnsiTheme="minorHAnsi" w:cstheme="minorBidi"/>
              <w:noProof/>
              <w:szCs w:val="22"/>
            </w:rPr>
          </w:pPr>
          <w:hyperlink w:anchor="_Toc291939257" w:history="1">
            <w:r w:rsidR="00026E95" w:rsidRPr="00F44E46">
              <w:rPr>
                <w:rStyle w:val="Hipervnculo"/>
                <w:noProof/>
              </w:rPr>
              <w:t>4.1</w:t>
            </w:r>
            <w:r w:rsidR="00026E95">
              <w:rPr>
                <w:rFonts w:asciiTheme="minorHAnsi" w:eastAsiaTheme="minorEastAsia" w:hAnsiTheme="minorHAnsi" w:cstheme="minorBidi"/>
                <w:noProof/>
                <w:szCs w:val="22"/>
              </w:rPr>
              <w:tab/>
            </w:r>
            <w:r w:rsidR="00026E95" w:rsidRPr="00F44E46">
              <w:rPr>
                <w:rStyle w:val="Hipervnculo"/>
                <w:noProof/>
              </w:rPr>
              <w:t>LA EVOLUCIÓN DEL AHORRO BRUTO DE LOS HOGARES</w:t>
            </w:r>
            <w:r w:rsidR="00026E95">
              <w:rPr>
                <w:noProof/>
                <w:webHidden/>
              </w:rPr>
              <w:tab/>
            </w:r>
            <w:r w:rsidR="00026E95">
              <w:rPr>
                <w:noProof/>
                <w:webHidden/>
              </w:rPr>
              <w:fldChar w:fldCharType="begin"/>
            </w:r>
            <w:r w:rsidR="00026E95">
              <w:rPr>
                <w:noProof/>
                <w:webHidden/>
              </w:rPr>
              <w:instrText xml:space="preserve"> PAGEREF _Toc291939257 \h </w:instrText>
            </w:r>
            <w:r w:rsidR="00026E95">
              <w:rPr>
                <w:noProof/>
                <w:webHidden/>
              </w:rPr>
            </w:r>
            <w:r w:rsidR="00026E95">
              <w:rPr>
                <w:noProof/>
                <w:webHidden/>
              </w:rPr>
              <w:fldChar w:fldCharType="separate"/>
            </w:r>
            <w:r w:rsidR="008A546C">
              <w:rPr>
                <w:noProof/>
                <w:webHidden/>
              </w:rPr>
              <w:t>8</w:t>
            </w:r>
            <w:r w:rsidR="00026E95">
              <w:rPr>
                <w:noProof/>
                <w:webHidden/>
              </w:rPr>
              <w:fldChar w:fldCharType="end"/>
            </w:r>
          </w:hyperlink>
        </w:p>
        <w:p w:rsidR="00026E95" w:rsidRDefault="00D503A4">
          <w:pPr>
            <w:pStyle w:val="TDC3"/>
            <w:tabs>
              <w:tab w:val="left" w:pos="1320"/>
              <w:tab w:val="right" w:leader="dot" w:pos="8494"/>
            </w:tabs>
            <w:rPr>
              <w:rFonts w:asciiTheme="minorHAnsi" w:eastAsiaTheme="minorEastAsia" w:hAnsiTheme="minorHAnsi" w:cstheme="minorBidi"/>
              <w:noProof/>
              <w:szCs w:val="22"/>
            </w:rPr>
          </w:pPr>
          <w:hyperlink w:anchor="_Toc291939258" w:history="1">
            <w:r w:rsidR="00026E95" w:rsidRPr="00F44E46">
              <w:rPr>
                <w:rStyle w:val="Hipervnculo"/>
                <w:noProof/>
              </w:rPr>
              <w:t>4.1.1</w:t>
            </w:r>
            <w:r w:rsidR="00026E95">
              <w:rPr>
                <w:rFonts w:asciiTheme="minorHAnsi" w:eastAsiaTheme="minorEastAsia" w:hAnsiTheme="minorHAnsi" w:cstheme="minorBidi"/>
                <w:noProof/>
                <w:szCs w:val="22"/>
              </w:rPr>
              <w:tab/>
            </w:r>
            <w:r w:rsidR="00026E95" w:rsidRPr="00F44E46">
              <w:rPr>
                <w:rStyle w:val="Hipervnculo"/>
                <w:noProof/>
              </w:rPr>
              <w:t>La Confianza del consumidor</w:t>
            </w:r>
            <w:r w:rsidR="00026E95">
              <w:rPr>
                <w:noProof/>
                <w:webHidden/>
              </w:rPr>
              <w:tab/>
            </w:r>
            <w:r w:rsidR="00026E95">
              <w:rPr>
                <w:noProof/>
                <w:webHidden/>
              </w:rPr>
              <w:fldChar w:fldCharType="begin"/>
            </w:r>
            <w:r w:rsidR="00026E95">
              <w:rPr>
                <w:noProof/>
                <w:webHidden/>
              </w:rPr>
              <w:instrText xml:space="preserve"> PAGEREF _Toc291939258 \h </w:instrText>
            </w:r>
            <w:r w:rsidR="00026E95">
              <w:rPr>
                <w:noProof/>
                <w:webHidden/>
              </w:rPr>
            </w:r>
            <w:r w:rsidR="00026E95">
              <w:rPr>
                <w:noProof/>
                <w:webHidden/>
              </w:rPr>
              <w:fldChar w:fldCharType="separate"/>
            </w:r>
            <w:r w:rsidR="008A546C">
              <w:rPr>
                <w:noProof/>
                <w:webHidden/>
              </w:rPr>
              <w:t>8</w:t>
            </w:r>
            <w:r w:rsidR="00026E95">
              <w:rPr>
                <w:noProof/>
                <w:webHidden/>
              </w:rPr>
              <w:fldChar w:fldCharType="end"/>
            </w:r>
          </w:hyperlink>
        </w:p>
        <w:p w:rsidR="00026E95" w:rsidRDefault="00D503A4">
          <w:pPr>
            <w:pStyle w:val="TDC3"/>
            <w:tabs>
              <w:tab w:val="left" w:pos="1320"/>
              <w:tab w:val="right" w:leader="dot" w:pos="8494"/>
            </w:tabs>
            <w:rPr>
              <w:rFonts w:asciiTheme="minorHAnsi" w:eastAsiaTheme="minorEastAsia" w:hAnsiTheme="minorHAnsi" w:cstheme="minorBidi"/>
              <w:noProof/>
              <w:szCs w:val="22"/>
            </w:rPr>
          </w:pPr>
          <w:hyperlink w:anchor="_Toc291939259" w:history="1">
            <w:r w:rsidR="00026E95" w:rsidRPr="00F44E46">
              <w:rPr>
                <w:rStyle w:val="Hipervnculo"/>
                <w:noProof/>
              </w:rPr>
              <w:t>4.1.2</w:t>
            </w:r>
            <w:r w:rsidR="00026E95">
              <w:rPr>
                <w:rFonts w:asciiTheme="minorHAnsi" w:eastAsiaTheme="minorEastAsia" w:hAnsiTheme="minorHAnsi" w:cstheme="minorBidi"/>
                <w:noProof/>
                <w:szCs w:val="22"/>
              </w:rPr>
              <w:tab/>
            </w:r>
            <w:r w:rsidR="00026E95" w:rsidRPr="00F44E46">
              <w:rPr>
                <w:rStyle w:val="Hipervnculo"/>
                <w:noProof/>
              </w:rPr>
              <w:t>Un factor de incertidumbre de particular relevancia: el desempleo</w:t>
            </w:r>
            <w:r w:rsidR="00026E95">
              <w:rPr>
                <w:noProof/>
                <w:webHidden/>
              </w:rPr>
              <w:tab/>
            </w:r>
            <w:r w:rsidR="00026E95">
              <w:rPr>
                <w:noProof/>
                <w:webHidden/>
              </w:rPr>
              <w:fldChar w:fldCharType="begin"/>
            </w:r>
            <w:r w:rsidR="00026E95">
              <w:rPr>
                <w:noProof/>
                <w:webHidden/>
              </w:rPr>
              <w:instrText xml:space="preserve"> PAGEREF _Toc291939259 \h </w:instrText>
            </w:r>
            <w:r w:rsidR="00026E95">
              <w:rPr>
                <w:noProof/>
                <w:webHidden/>
              </w:rPr>
            </w:r>
            <w:r w:rsidR="00026E95">
              <w:rPr>
                <w:noProof/>
                <w:webHidden/>
              </w:rPr>
              <w:fldChar w:fldCharType="separate"/>
            </w:r>
            <w:r w:rsidR="008A546C">
              <w:rPr>
                <w:noProof/>
                <w:webHidden/>
              </w:rPr>
              <w:t>9</w:t>
            </w:r>
            <w:r w:rsidR="00026E95">
              <w:rPr>
                <w:noProof/>
                <w:webHidden/>
              </w:rPr>
              <w:fldChar w:fldCharType="end"/>
            </w:r>
          </w:hyperlink>
        </w:p>
        <w:p w:rsidR="00026E95" w:rsidRDefault="00D503A4">
          <w:pPr>
            <w:pStyle w:val="TDC3"/>
            <w:tabs>
              <w:tab w:val="left" w:pos="1320"/>
              <w:tab w:val="right" w:leader="dot" w:pos="8494"/>
            </w:tabs>
            <w:rPr>
              <w:rFonts w:asciiTheme="minorHAnsi" w:eastAsiaTheme="minorEastAsia" w:hAnsiTheme="minorHAnsi" w:cstheme="minorBidi"/>
              <w:noProof/>
              <w:szCs w:val="22"/>
            </w:rPr>
          </w:pPr>
          <w:hyperlink w:anchor="_Toc291939260" w:history="1">
            <w:r w:rsidR="00026E95" w:rsidRPr="00F44E46">
              <w:rPr>
                <w:rStyle w:val="Hipervnculo"/>
                <w:noProof/>
              </w:rPr>
              <w:t>4.1.3</w:t>
            </w:r>
            <w:r w:rsidR="00026E95">
              <w:rPr>
                <w:rFonts w:asciiTheme="minorHAnsi" w:eastAsiaTheme="minorEastAsia" w:hAnsiTheme="minorHAnsi" w:cstheme="minorBidi"/>
                <w:noProof/>
                <w:szCs w:val="22"/>
              </w:rPr>
              <w:tab/>
            </w:r>
            <w:r w:rsidR="00026E95" w:rsidRPr="00F44E46">
              <w:rPr>
                <w:rStyle w:val="Hipervnculo"/>
                <w:noProof/>
              </w:rPr>
              <w:t>Efecto riqueza de la vivienda</w:t>
            </w:r>
            <w:r w:rsidR="00026E95">
              <w:rPr>
                <w:noProof/>
                <w:webHidden/>
              </w:rPr>
              <w:tab/>
            </w:r>
            <w:r w:rsidR="00026E95">
              <w:rPr>
                <w:noProof/>
                <w:webHidden/>
              </w:rPr>
              <w:fldChar w:fldCharType="begin"/>
            </w:r>
            <w:r w:rsidR="00026E95">
              <w:rPr>
                <w:noProof/>
                <w:webHidden/>
              </w:rPr>
              <w:instrText xml:space="preserve"> PAGEREF _Toc291939260 \h </w:instrText>
            </w:r>
            <w:r w:rsidR="00026E95">
              <w:rPr>
                <w:noProof/>
                <w:webHidden/>
              </w:rPr>
            </w:r>
            <w:r w:rsidR="00026E95">
              <w:rPr>
                <w:noProof/>
                <w:webHidden/>
              </w:rPr>
              <w:fldChar w:fldCharType="separate"/>
            </w:r>
            <w:r w:rsidR="008A546C">
              <w:rPr>
                <w:noProof/>
                <w:webHidden/>
              </w:rPr>
              <w:t>10</w:t>
            </w:r>
            <w:r w:rsidR="00026E95">
              <w:rPr>
                <w:noProof/>
                <w:webHidden/>
              </w:rPr>
              <w:fldChar w:fldCharType="end"/>
            </w:r>
          </w:hyperlink>
        </w:p>
        <w:p w:rsidR="00026E95" w:rsidRDefault="00D503A4">
          <w:pPr>
            <w:pStyle w:val="TDC2"/>
            <w:tabs>
              <w:tab w:val="left" w:pos="880"/>
              <w:tab w:val="right" w:leader="dot" w:pos="8494"/>
            </w:tabs>
            <w:rPr>
              <w:rFonts w:asciiTheme="minorHAnsi" w:eastAsiaTheme="minorEastAsia" w:hAnsiTheme="minorHAnsi" w:cstheme="minorBidi"/>
              <w:noProof/>
              <w:szCs w:val="22"/>
            </w:rPr>
          </w:pPr>
          <w:hyperlink w:anchor="_Toc291939261" w:history="1">
            <w:r w:rsidR="00026E95" w:rsidRPr="00F44E46">
              <w:rPr>
                <w:rStyle w:val="Hipervnculo"/>
                <w:noProof/>
              </w:rPr>
              <w:t>4.2</w:t>
            </w:r>
            <w:r w:rsidR="00026E95">
              <w:rPr>
                <w:rFonts w:asciiTheme="minorHAnsi" w:eastAsiaTheme="minorEastAsia" w:hAnsiTheme="minorHAnsi" w:cstheme="minorBidi"/>
                <w:noProof/>
                <w:szCs w:val="22"/>
              </w:rPr>
              <w:tab/>
            </w:r>
            <w:r w:rsidR="00026E95" w:rsidRPr="00F44E46">
              <w:rPr>
                <w:rStyle w:val="Hipervnculo"/>
                <w:noProof/>
              </w:rPr>
              <w:t>LA EVOLUCIÓN DE LA RENTA DISPONIBLE BRUTA DE LOS HOGARES</w:t>
            </w:r>
            <w:r w:rsidR="00026E95">
              <w:rPr>
                <w:noProof/>
                <w:webHidden/>
              </w:rPr>
              <w:tab/>
            </w:r>
            <w:r w:rsidR="00026E95">
              <w:rPr>
                <w:noProof/>
                <w:webHidden/>
              </w:rPr>
              <w:fldChar w:fldCharType="begin"/>
            </w:r>
            <w:r w:rsidR="00026E95">
              <w:rPr>
                <w:noProof/>
                <w:webHidden/>
              </w:rPr>
              <w:instrText xml:space="preserve"> PAGEREF _Toc291939261 \h </w:instrText>
            </w:r>
            <w:r w:rsidR="00026E95">
              <w:rPr>
                <w:noProof/>
                <w:webHidden/>
              </w:rPr>
            </w:r>
            <w:r w:rsidR="00026E95">
              <w:rPr>
                <w:noProof/>
                <w:webHidden/>
              </w:rPr>
              <w:fldChar w:fldCharType="separate"/>
            </w:r>
            <w:r w:rsidR="008A546C">
              <w:rPr>
                <w:noProof/>
                <w:webHidden/>
              </w:rPr>
              <w:t>12</w:t>
            </w:r>
            <w:r w:rsidR="00026E95">
              <w:rPr>
                <w:noProof/>
                <w:webHidden/>
              </w:rPr>
              <w:fldChar w:fldCharType="end"/>
            </w:r>
          </w:hyperlink>
        </w:p>
        <w:p w:rsidR="00026E95" w:rsidRDefault="00D503A4">
          <w:pPr>
            <w:pStyle w:val="TDC3"/>
            <w:tabs>
              <w:tab w:val="left" w:pos="1320"/>
              <w:tab w:val="right" w:leader="dot" w:pos="8494"/>
            </w:tabs>
            <w:rPr>
              <w:rFonts w:asciiTheme="minorHAnsi" w:eastAsiaTheme="minorEastAsia" w:hAnsiTheme="minorHAnsi" w:cstheme="minorBidi"/>
              <w:noProof/>
              <w:szCs w:val="22"/>
            </w:rPr>
          </w:pPr>
          <w:hyperlink w:anchor="_Toc291939262" w:history="1">
            <w:r w:rsidR="00026E95" w:rsidRPr="00F44E46">
              <w:rPr>
                <w:rStyle w:val="Hipervnculo"/>
                <w:noProof/>
              </w:rPr>
              <w:t>4.2.1</w:t>
            </w:r>
            <w:r w:rsidR="00026E95">
              <w:rPr>
                <w:rFonts w:asciiTheme="minorHAnsi" w:eastAsiaTheme="minorEastAsia" w:hAnsiTheme="minorHAnsi" w:cstheme="minorBidi"/>
                <w:noProof/>
                <w:szCs w:val="22"/>
              </w:rPr>
              <w:tab/>
            </w:r>
            <w:r w:rsidR="00026E95" w:rsidRPr="00F44E46">
              <w:rPr>
                <w:rStyle w:val="Hipervnculo"/>
                <w:noProof/>
              </w:rPr>
              <w:t>Políticas Públicas de transferencias corrientes</w:t>
            </w:r>
            <w:r w:rsidR="00026E95">
              <w:rPr>
                <w:noProof/>
                <w:webHidden/>
              </w:rPr>
              <w:tab/>
            </w:r>
            <w:r w:rsidR="00026E95">
              <w:rPr>
                <w:noProof/>
                <w:webHidden/>
              </w:rPr>
              <w:fldChar w:fldCharType="begin"/>
            </w:r>
            <w:r w:rsidR="00026E95">
              <w:rPr>
                <w:noProof/>
                <w:webHidden/>
              </w:rPr>
              <w:instrText xml:space="preserve"> PAGEREF _Toc291939262 \h </w:instrText>
            </w:r>
            <w:r w:rsidR="00026E95">
              <w:rPr>
                <w:noProof/>
                <w:webHidden/>
              </w:rPr>
            </w:r>
            <w:r w:rsidR="00026E95">
              <w:rPr>
                <w:noProof/>
                <w:webHidden/>
              </w:rPr>
              <w:fldChar w:fldCharType="separate"/>
            </w:r>
            <w:r w:rsidR="008A546C">
              <w:rPr>
                <w:noProof/>
                <w:webHidden/>
              </w:rPr>
              <w:t>13</w:t>
            </w:r>
            <w:r w:rsidR="00026E95">
              <w:rPr>
                <w:noProof/>
                <w:webHidden/>
              </w:rPr>
              <w:fldChar w:fldCharType="end"/>
            </w:r>
          </w:hyperlink>
        </w:p>
        <w:p w:rsidR="00026E95" w:rsidRDefault="00D503A4">
          <w:pPr>
            <w:pStyle w:val="TDC3"/>
            <w:tabs>
              <w:tab w:val="left" w:pos="1320"/>
              <w:tab w:val="right" w:leader="dot" w:pos="8494"/>
            </w:tabs>
            <w:rPr>
              <w:rFonts w:asciiTheme="minorHAnsi" w:eastAsiaTheme="minorEastAsia" w:hAnsiTheme="minorHAnsi" w:cstheme="minorBidi"/>
              <w:noProof/>
              <w:szCs w:val="22"/>
            </w:rPr>
          </w:pPr>
          <w:hyperlink w:anchor="_Toc291939263" w:history="1">
            <w:r w:rsidR="00026E95" w:rsidRPr="00F44E46">
              <w:rPr>
                <w:rStyle w:val="Hipervnculo"/>
                <w:noProof/>
              </w:rPr>
              <w:t>4.2.2</w:t>
            </w:r>
            <w:r w:rsidR="00026E95">
              <w:rPr>
                <w:rFonts w:asciiTheme="minorHAnsi" w:eastAsiaTheme="minorEastAsia" w:hAnsiTheme="minorHAnsi" w:cstheme="minorBidi"/>
                <w:noProof/>
                <w:szCs w:val="22"/>
              </w:rPr>
              <w:tab/>
            </w:r>
            <w:r w:rsidR="00026E95" w:rsidRPr="00F44E46">
              <w:rPr>
                <w:rStyle w:val="Hipervnculo"/>
                <w:noProof/>
              </w:rPr>
              <w:t>La inflación</w:t>
            </w:r>
            <w:r w:rsidR="00026E95">
              <w:rPr>
                <w:noProof/>
                <w:webHidden/>
              </w:rPr>
              <w:tab/>
            </w:r>
            <w:r w:rsidR="00026E95">
              <w:rPr>
                <w:noProof/>
                <w:webHidden/>
              </w:rPr>
              <w:fldChar w:fldCharType="begin"/>
            </w:r>
            <w:r w:rsidR="00026E95">
              <w:rPr>
                <w:noProof/>
                <w:webHidden/>
              </w:rPr>
              <w:instrText xml:space="preserve"> PAGEREF _Toc291939263 \h </w:instrText>
            </w:r>
            <w:r w:rsidR="00026E95">
              <w:rPr>
                <w:noProof/>
                <w:webHidden/>
              </w:rPr>
            </w:r>
            <w:r w:rsidR="00026E95">
              <w:rPr>
                <w:noProof/>
                <w:webHidden/>
              </w:rPr>
              <w:fldChar w:fldCharType="separate"/>
            </w:r>
            <w:r w:rsidR="008A546C">
              <w:rPr>
                <w:noProof/>
                <w:webHidden/>
              </w:rPr>
              <w:t>14</w:t>
            </w:r>
            <w:r w:rsidR="00026E95">
              <w:rPr>
                <w:noProof/>
                <w:webHidden/>
              </w:rPr>
              <w:fldChar w:fldCharType="end"/>
            </w:r>
          </w:hyperlink>
        </w:p>
        <w:p w:rsidR="00026E95" w:rsidRDefault="00D503A4">
          <w:pPr>
            <w:pStyle w:val="TDC2"/>
            <w:tabs>
              <w:tab w:val="left" w:pos="880"/>
              <w:tab w:val="right" w:leader="dot" w:pos="8494"/>
            </w:tabs>
            <w:rPr>
              <w:rFonts w:asciiTheme="minorHAnsi" w:eastAsiaTheme="minorEastAsia" w:hAnsiTheme="minorHAnsi" w:cstheme="minorBidi"/>
              <w:noProof/>
              <w:szCs w:val="22"/>
            </w:rPr>
          </w:pPr>
          <w:hyperlink w:anchor="_Toc291939264" w:history="1">
            <w:r w:rsidR="00026E95" w:rsidRPr="00F44E46">
              <w:rPr>
                <w:rStyle w:val="Hipervnculo"/>
                <w:noProof/>
              </w:rPr>
              <w:t>4.3</w:t>
            </w:r>
            <w:r w:rsidR="00026E95">
              <w:rPr>
                <w:rFonts w:asciiTheme="minorHAnsi" w:eastAsiaTheme="minorEastAsia" w:hAnsiTheme="minorHAnsi" w:cstheme="minorBidi"/>
                <w:noProof/>
                <w:szCs w:val="22"/>
              </w:rPr>
              <w:tab/>
            </w:r>
            <w:r w:rsidR="00026E95" w:rsidRPr="00F44E46">
              <w:rPr>
                <w:rStyle w:val="Hipervnculo"/>
                <w:noProof/>
              </w:rPr>
              <w:t>ANÁLISIS CUANTITATIVO</w:t>
            </w:r>
            <w:r w:rsidR="00026E95">
              <w:rPr>
                <w:noProof/>
                <w:webHidden/>
              </w:rPr>
              <w:tab/>
            </w:r>
            <w:r w:rsidR="00026E95">
              <w:rPr>
                <w:noProof/>
                <w:webHidden/>
              </w:rPr>
              <w:fldChar w:fldCharType="begin"/>
            </w:r>
            <w:r w:rsidR="00026E95">
              <w:rPr>
                <w:noProof/>
                <w:webHidden/>
              </w:rPr>
              <w:instrText xml:space="preserve"> PAGEREF _Toc291939264 \h </w:instrText>
            </w:r>
            <w:r w:rsidR="00026E95">
              <w:rPr>
                <w:noProof/>
                <w:webHidden/>
              </w:rPr>
            </w:r>
            <w:r w:rsidR="00026E95">
              <w:rPr>
                <w:noProof/>
                <w:webHidden/>
              </w:rPr>
              <w:fldChar w:fldCharType="separate"/>
            </w:r>
            <w:r w:rsidR="008A546C">
              <w:rPr>
                <w:noProof/>
                <w:webHidden/>
              </w:rPr>
              <w:t>16</w:t>
            </w:r>
            <w:r w:rsidR="00026E95">
              <w:rPr>
                <w:noProof/>
                <w:webHidden/>
              </w:rPr>
              <w:fldChar w:fldCharType="end"/>
            </w:r>
          </w:hyperlink>
        </w:p>
        <w:p w:rsidR="00026E95" w:rsidRDefault="00D503A4">
          <w:pPr>
            <w:pStyle w:val="TDC3"/>
            <w:tabs>
              <w:tab w:val="left" w:pos="1320"/>
              <w:tab w:val="right" w:leader="dot" w:pos="8494"/>
            </w:tabs>
            <w:rPr>
              <w:rFonts w:asciiTheme="minorHAnsi" w:eastAsiaTheme="minorEastAsia" w:hAnsiTheme="minorHAnsi" w:cstheme="minorBidi"/>
              <w:noProof/>
              <w:szCs w:val="22"/>
            </w:rPr>
          </w:pPr>
          <w:hyperlink w:anchor="_Toc291939265" w:history="1">
            <w:r w:rsidR="00026E95" w:rsidRPr="00F44E46">
              <w:rPr>
                <w:rStyle w:val="Hipervnculo"/>
                <w:noProof/>
              </w:rPr>
              <w:t>4.3.1</w:t>
            </w:r>
            <w:r w:rsidR="00026E95">
              <w:rPr>
                <w:rFonts w:asciiTheme="minorHAnsi" w:eastAsiaTheme="minorEastAsia" w:hAnsiTheme="minorHAnsi" w:cstheme="minorBidi"/>
                <w:noProof/>
                <w:szCs w:val="22"/>
              </w:rPr>
              <w:tab/>
            </w:r>
            <w:r w:rsidR="00026E95" w:rsidRPr="00F44E46">
              <w:rPr>
                <w:rStyle w:val="Hipervnculo"/>
                <w:noProof/>
              </w:rPr>
              <w:t>Modelo de Regresión Múltiple y Análisis de Componentes Principales</w:t>
            </w:r>
            <w:r w:rsidR="00026E95">
              <w:rPr>
                <w:noProof/>
                <w:webHidden/>
              </w:rPr>
              <w:tab/>
            </w:r>
            <w:r w:rsidR="00026E95">
              <w:rPr>
                <w:noProof/>
                <w:webHidden/>
              </w:rPr>
              <w:fldChar w:fldCharType="begin"/>
            </w:r>
            <w:r w:rsidR="00026E95">
              <w:rPr>
                <w:noProof/>
                <w:webHidden/>
              </w:rPr>
              <w:instrText xml:space="preserve"> PAGEREF _Toc291939265 \h </w:instrText>
            </w:r>
            <w:r w:rsidR="00026E95">
              <w:rPr>
                <w:noProof/>
                <w:webHidden/>
              </w:rPr>
            </w:r>
            <w:r w:rsidR="00026E95">
              <w:rPr>
                <w:noProof/>
                <w:webHidden/>
              </w:rPr>
              <w:fldChar w:fldCharType="separate"/>
            </w:r>
            <w:r w:rsidR="008A546C">
              <w:rPr>
                <w:noProof/>
                <w:webHidden/>
              </w:rPr>
              <w:t>16</w:t>
            </w:r>
            <w:r w:rsidR="00026E95">
              <w:rPr>
                <w:noProof/>
                <w:webHidden/>
              </w:rPr>
              <w:fldChar w:fldCharType="end"/>
            </w:r>
          </w:hyperlink>
        </w:p>
        <w:p w:rsidR="00026E95" w:rsidRDefault="00D503A4">
          <w:pPr>
            <w:pStyle w:val="TDC3"/>
            <w:tabs>
              <w:tab w:val="left" w:pos="1320"/>
              <w:tab w:val="right" w:leader="dot" w:pos="8494"/>
            </w:tabs>
            <w:rPr>
              <w:rFonts w:asciiTheme="minorHAnsi" w:eastAsiaTheme="minorEastAsia" w:hAnsiTheme="minorHAnsi" w:cstheme="minorBidi"/>
              <w:noProof/>
              <w:szCs w:val="22"/>
            </w:rPr>
          </w:pPr>
          <w:hyperlink w:anchor="_Toc291939266" w:history="1">
            <w:r w:rsidR="00026E95" w:rsidRPr="00F44E46">
              <w:rPr>
                <w:rStyle w:val="Hipervnculo"/>
                <w:noProof/>
              </w:rPr>
              <w:t>4.3.2</w:t>
            </w:r>
            <w:r w:rsidR="00026E95">
              <w:rPr>
                <w:rFonts w:asciiTheme="minorHAnsi" w:eastAsiaTheme="minorEastAsia" w:hAnsiTheme="minorHAnsi" w:cstheme="minorBidi"/>
                <w:noProof/>
                <w:szCs w:val="22"/>
              </w:rPr>
              <w:tab/>
            </w:r>
            <w:r w:rsidR="00026E95" w:rsidRPr="00F44E46">
              <w:rPr>
                <w:rStyle w:val="Hipervnculo"/>
                <w:noProof/>
              </w:rPr>
              <w:t>Modelo ARIMA</w:t>
            </w:r>
            <w:r w:rsidR="00026E95">
              <w:rPr>
                <w:noProof/>
                <w:webHidden/>
              </w:rPr>
              <w:tab/>
            </w:r>
            <w:r w:rsidR="00026E95">
              <w:rPr>
                <w:noProof/>
                <w:webHidden/>
              </w:rPr>
              <w:fldChar w:fldCharType="begin"/>
            </w:r>
            <w:r w:rsidR="00026E95">
              <w:rPr>
                <w:noProof/>
                <w:webHidden/>
              </w:rPr>
              <w:instrText xml:space="preserve"> PAGEREF _Toc291939266 \h </w:instrText>
            </w:r>
            <w:r w:rsidR="00026E95">
              <w:rPr>
                <w:noProof/>
                <w:webHidden/>
              </w:rPr>
            </w:r>
            <w:r w:rsidR="00026E95">
              <w:rPr>
                <w:noProof/>
                <w:webHidden/>
              </w:rPr>
              <w:fldChar w:fldCharType="separate"/>
            </w:r>
            <w:r w:rsidR="008A546C">
              <w:rPr>
                <w:noProof/>
                <w:webHidden/>
              </w:rPr>
              <w:t>21</w:t>
            </w:r>
            <w:r w:rsidR="00026E95">
              <w:rPr>
                <w:noProof/>
                <w:webHidden/>
              </w:rPr>
              <w:fldChar w:fldCharType="end"/>
            </w:r>
          </w:hyperlink>
        </w:p>
        <w:p w:rsidR="00026E95" w:rsidRDefault="00D503A4">
          <w:pPr>
            <w:pStyle w:val="TDC1"/>
            <w:tabs>
              <w:tab w:val="left" w:pos="440"/>
              <w:tab w:val="right" w:leader="dot" w:pos="8494"/>
            </w:tabs>
            <w:rPr>
              <w:rFonts w:asciiTheme="minorHAnsi" w:eastAsiaTheme="minorEastAsia" w:hAnsiTheme="minorHAnsi" w:cstheme="minorBidi"/>
              <w:noProof/>
              <w:szCs w:val="22"/>
            </w:rPr>
          </w:pPr>
          <w:hyperlink w:anchor="_Toc291939267" w:history="1">
            <w:r w:rsidR="00026E95" w:rsidRPr="00F44E46">
              <w:rPr>
                <w:rStyle w:val="Hipervnculo"/>
                <w:noProof/>
              </w:rPr>
              <w:t>5.</w:t>
            </w:r>
            <w:r w:rsidR="00026E95">
              <w:rPr>
                <w:rFonts w:asciiTheme="minorHAnsi" w:eastAsiaTheme="minorEastAsia" w:hAnsiTheme="minorHAnsi" w:cstheme="minorBidi"/>
                <w:noProof/>
                <w:szCs w:val="22"/>
              </w:rPr>
              <w:tab/>
            </w:r>
            <w:r w:rsidR="00026E95" w:rsidRPr="00F44E46">
              <w:rPr>
                <w:rStyle w:val="Hipervnculo"/>
                <w:noProof/>
              </w:rPr>
              <w:t>CONSECUENCIAS DE LA EVOLUCIÓN DE LA TASA DE AHORRO DE LOS HOGARES</w:t>
            </w:r>
            <w:r w:rsidR="00026E95">
              <w:rPr>
                <w:noProof/>
                <w:webHidden/>
              </w:rPr>
              <w:tab/>
            </w:r>
            <w:r w:rsidR="00026E95">
              <w:rPr>
                <w:noProof/>
                <w:webHidden/>
              </w:rPr>
              <w:fldChar w:fldCharType="begin"/>
            </w:r>
            <w:r w:rsidR="00026E95">
              <w:rPr>
                <w:noProof/>
                <w:webHidden/>
              </w:rPr>
              <w:instrText xml:space="preserve"> PAGEREF _Toc291939267 \h </w:instrText>
            </w:r>
            <w:r w:rsidR="00026E95">
              <w:rPr>
                <w:noProof/>
                <w:webHidden/>
              </w:rPr>
            </w:r>
            <w:r w:rsidR="00026E95">
              <w:rPr>
                <w:noProof/>
                <w:webHidden/>
              </w:rPr>
              <w:fldChar w:fldCharType="separate"/>
            </w:r>
            <w:r w:rsidR="008A546C">
              <w:rPr>
                <w:noProof/>
                <w:webHidden/>
              </w:rPr>
              <w:t>23</w:t>
            </w:r>
            <w:r w:rsidR="00026E95">
              <w:rPr>
                <w:noProof/>
                <w:webHidden/>
              </w:rPr>
              <w:fldChar w:fldCharType="end"/>
            </w:r>
          </w:hyperlink>
        </w:p>
        <w:p w:rsidR="00026E95" w:rsidRDefault="00D503A4">
          <w:pPr>
            <w:pStyle w:val="TDC2"/>
            <w:tabs>
              <w:tab w:val="left" w:pos="880"/>
              <w:tab w:val="right" w:leader="dot" w:pos="8494"/>
            </w:tabs>
            <w:rPr>
              <w:rFonts w:asciiTheme="minorHAnsi" w:eastAsiaTheme="minorEastAsia" w:hAnsiTheme="minorHAnsi" w:cstheme="minorBidi"/>
              <w:noProof/>
              <w:szCs w:val="22"/>
            </w:rPr>
          </w:pPr>
          <w:hyperlink w:anchor="_Toc291939268" w:history="1">
            <w:r w:rsidR="00026E95" w:rsidRPr="00F44E46">
              <w:rPr>
                <w:rStyle w:val="Hipervnculo"/>
                <w:noProof/>
              </w:rPr>
              <w:t>5.1</w:t>
            </w:r>
            <w:r w:rsidR="00026E95">
              <w:rPr>
                <w:rFonts w:asciiTheme="minorHAnsi" w:eastAsiaTheme="minorEastAsia" w:hAnsiTheme="minorHAnsi" w:cstheme="minorBidi"/>
                <w:noProof/>
                <w:szCs w:val="22"/>
              </w:rPr>
              <w:tab/>
            </w:r>
            <w:r w:rsidR="00026E95" w:rsidRPr="00F44E46">
              <w:rPr>
                <w:rStyle w:val="Hipervnculo"/>
                <w:noProof/>
              </w:rPr>
              <w:t>Déficit por cuenta corriente de la Balanza de Pagos</w:t>
            </w:r>
            <w:r w:rsidR="00026E95">
              <w:rPr>
                <w:noProof/>
                <w:webHidden/>
              </w:rPr>
              <w:tab/>
            </w:r>
            <w:r w:rsidR="00026E95">
              <w:rPr>
                <w:noProof/>
                <w:webHidden/>
              </w:rPr>
              <w:fldChar w:fldCharType="begin"/>
            </w:r>
            <w:r w:rsidR="00026E95">
              <w:rPr>
                <w:noProof/>
                <w:webHidden/>
              </w:rPr>
              <w:instrText xml:space="preserve"> PAGEREF _Toc291939268 \h </w:instrText>
            </w:r>
            <w:r w:rsidR="00026E95">
              <w:rPr>
                <w:noProof/>
                <w:webHidden/>
              </w:rPr>
            </w:r>
            <w:r w:rsidR="00026E95">
              <w:rPr>
                <w:noProof/>
                <w:webHidden/>
              </w:rPr>
              <w:fldChar w:fldCharType="separate"/>
            </w:r>
            <w:r w:rsidR="008A546C">
              <w:rPr>
                <w:noProof/>
                <w:webHidden/>
              </w:rPr>
              <w:t>23</w:t>
            </w:r>
            <w:r w:rsidR="00026E95">
              <w:rPr>
                <w:noProof/>
                <w:webHidden/>
              </w:rPr>
              <w:fldChar w:fldCharType="end"/>
            </w:r>
          </w:hyperlink>
        </w:p>
        <w:p w:rsidR="00026E95" w:rsidRDefault="00D503A4">
          <w:pPr>
            <w:pStyle w:val="TDC2"/>
            <w:tabs>
              <w:tab w:val="left" w:pos="880"/>
              <w:tab w:val="right" w:leader="dot" w:pos="8494"/>
            </w:tabs>
            <w:rPr>
              <w:rFonts w:asciiTheme="minorHAnsi" w:eastAsiaTheme="minorEastAsia" w:hAnsiTheme="minorHAnsi" w:cstheme="minorBidi"/>
              <w:noProof/>
              <w:szCs w:val="22"/>
            </w:rPr>
          </w:pPr>
          <w:hyperlink w:anchor="_Toc291939269" w:history="1">
            <w:r w:rsidR="00026E95" w:rsidRPr="00F44E46">
              <w:rPr>
                <w:rStyle w:val="Hipervnculo"/>
                <w:noProof/>
              </w:rPr>
              <w:t>5.2</w:t>
            </w:r>
            <w:r w:rsidR="00026E95">
              <w:rPr>
                <w:rFonts w:asciiTheme="minorHAnsi" w:eastAsiaTheme="minorEastAsia" w:hAnsiTheme="minorHAnsi" w:cstheme="minorBidi"/>
                <w:noProof/>
                <w:szCs w:val="22"/>
              </w:rPr>
              <w:tab/>
            </w:r>
            <w:r w:rsidR="00026E95" w:rsidRPr="00F44E46">
              <w:rPr>
                <w:rStyle w:val="Hipervnculo"/>
                <w:noProof/>
              </w:rPr>
              <w:t>Nivel de precios y competitividad de la economía española</w:t>
            </w:r>
            <w:r w:rsidR="00026E95">
              <w:rPr>
                <w:noProof/>
                <w:webHidden/>
              </w:rPr>
              <w:tab/>
            </w:r>
            <w:r w:rsidR="00026E95">
              <w:rPr>
                <w:noProof/>
                <w:webHidden/>
              </w:rPr>
              <w:fldChar w:fldCharType="begin"/>
            </w:r>
            <w:r w:rsidR="00026E95">
              <w:rPr>
                <w:noProof/>
                <w:webHidden/>
              </w:rPr>
              <w:instrText xml:space="preserve"> PAGEREF _Toc291939269 \h </w:instrText>
            </w:r>
            <w:r w:rsidR="00026E95">
              <w:rPr>
                <w:noProof/>
                <w:webHidden/>
              </w:rPr>
            </w:r>
            <w:r w:rsidR="00026E95">
              <w:rPr>
                <w:noProof/>
                <w:webHidden/>
              </w:rPr>
              <w:fldChar w:fldCharType="separate"/>
            </w:r>
            <w:r w:rsidR="008A546C">
              <w:rPr>
                <w:noProof/>
                <w:webHidden/>
              </w:rPr>
              <w:t>24</w:t>
            </w:r>
            <w:r w:rsidR="00026E95">
              <w:rPr>
                <w:noProof/>
                <w:webHidden/>
              </w:rPr>
              <w:fldChar w:fldCharType="end"/>
            </w:r>
          </w:hyperlink>
        </w:p>
        <w:p w:rsidR="00026E95" w:rsidRDefault="00D503A4">
          <w:pPr>
            <w:pStyle w:val="TDC2"/>
            <w:tabs>
              <w:tab w:val="left" w:pos="880"/>
              <w:tab w:val="right" w:leader="dot" w:pos="8494"/>
            </w:tabs>
            <w:rPr>
              <w:rFonts w:asciiTheme="minorHAnsi" w:eastAsiaTheme="minorEastAsia" w:hAnsiTheme="minorHAnsi" w:cstheme="minorBidi"/>
              <w:noProof/>
              <w:szCs w:val="22"/>
            </w:rPr>
          </w:pPr>
          <w:hyperlink w:anchor="_Toc291939270" w:history="1">
            <w:r w:rsidR="00026E95" w:rsidRPr="00F44E46">
              <w:rPr>
                <w:rStyle w:val="Hipervnculo"/>
                <w:noProof/>
              </w:rPr>
              <w:t>5.3</w:t>
            </w:r>
            <w:r w:rsidR="00026E95">
              <w:rPr>
                <w:rFonts w:asciiTheme="minorHAnsi" w:eastAsiaTheme="minorEastAsia" w:hAnsiTheme="minorHAnsi" w:cstheme="minorBidi"/>
                <w:noProof/>
                <w:szCs w:val="22"/>
              </w:rPr>
              <w:tab/>
            </w:r>
            <w:r w:rsidR="00026E95" w:rsidRPr="00F44E46">
              <w:rPr>
                <w:rStyle w:val="Hipervnculo"/>
                <w:noProof/>
              </w:rPr>
              <w:t>Endeudamiento de las familias</w:t>
            </w:r>
            <w:r w:rsidR="00026E95">
              <w:rPr>
                <w:noProof/>
                <w:webHidden/>
              </w:rPr>
              <w:tab/>
            </w:r>
            <w:r w:rsidR="00026E95">
              <w:rPr>
                <w:noProof/>
                <w:webHidden/>
              </w:rPr>
              <w:fldChar w:fldCharType="begin"/>
            </w:r>
            <w:r w:rsidR="00026E95">
              <w:rPr>
                <w:noProof/>
                <w:webHidden/>
              </w:rPr>
              <w:instrText xml:space="preserve"> PAGEREF _Toc291939270 \h </w:instrText>
            </w:r>
            <w:r w:rsidR="00026E95">
              <w:rPr>
                <w:noProof/>
                <w:webHidden/>
              </w:rPr>
            </w:r>
            <w:r w:rsidR="00026E95">
              <w:rPr>
                <w:noProof/>
                <w:webHidden/>
              </w:rPr>
              <w:fldChar w:fldCharType="separate"/>
            </w:r>
            <w:r w:rsidR="008A546C">
              <w:rPr>
                <w:noProof/>
                <w:webHidden/>
              </w:rPr>
              <w:t>25</w:t>
            </w:r>
            <w:r w:rsidR="00026E95">
              <w:rPr>
                <w:noProof/>
                <w:webHidden/>
              </w:rPr>
              <w:fldChar w:fldCharType="end"/>
            </w:r>
          </w:hyperlink>
        </w:p>
        <w:p w:rsidR="00026E95" w:rsidRDefault="00D503A4">
          <w:pPr>
            <w:pStyle w:val="TDC2"/>
            <w:tabs>
              <w:tab w:val="left" w:pos="880"/>
              <w:tab w:val="right" w:leader="dot" w:pos="8494"/>
            </w:tabs>
            <w:rPr>
              <w:rFonts w:asciiTheme="minorHAnsi" w:eastAsiaTheme="minorEastAsia" w:hAnsiTheme="minorHAnsi" w:cstheme="minorBidi"/>
              <w:noProof/>
              <w:szCs w:val="22"/>
            </w:rPr>
          </w:pPr>
          <w:hyperlink w:anchor="_Toc291939271" w:history="1">
            <w:r w:rsidR="00026E95" w:rsidRPr="00F44E46">
              <w:rPr>
                <w:rStyle w:val="Hipervnculo"/>
                <w:noProof/>
              </w:rPr>
              <w:t>5.4</w:t>
            </w:r>
            <w:r w:rsidR="00026E95">
              <w:rPr>
                <w:rFonts w:asciiTheme="minorHAnsi" w:eastAsiaTheme="minorEastAsia" w:hAnsiTheme="minorHAnsi" w:cstheme="minorBidi"/>
                <w:noProof/>
                <w:szCs w:val="22"/>
              </w:rPr>
              <w:tab/>
            </w:r>
            <w:r w:rsidR="00026E95" w:rsidRPr="00F44E46">
              <w:rPr>
                <w:rStyle w:val="Hipervnculo"/>
                <w:noProof/>
              </w:rPr>
              <w:t>Actividad Empresarial</w:t>
            </w:r>
            <w:r w:rsidR="00026E95">
              <w:rPr>
                <w:noProof/>
                <w:webHidden/>
              </w:rPr>
              <w:tab/>
            </w:r>
            <w:r w:rsidR="00026E95">
              <w:rPr>
                <w:noProof/>
                <w:webHidden/>
              </w:rPr>
              <w:fldChar w:fldCharType="begin"/>
            </w:r>
            <w:r w:rsidR="00026E95">
              <w:rPr>
                <w:noProof/>
                <w:webHidden/>
              </w:rPr>
              <w:instrText xml:space="preserve"> PAGEREF _Toc291939271 \h </w:instrText>
            </w:r>
            <w:r w:rsidR="00026E95">
              <w:rPr>
                <w:noProof/>
                <w:webHidden/>
              </w:rPr>
            </w:r>
            <w:r w:rsidR="00026E95">
              <w:rPr>
                <w:noProof/>
                <w:webHidden/>
              </w:rPr>
              <w:fldChar w:fldCharType="separate"/>
            </w:r>
            <w:r w:rsidR="008A546C">
              <w:rPr>
                <w:noProof/>
                <w:webHidden/>
              </w:rPr>
              <w:t>26</w:t>
            </w:r>
            <w:r w:rsidR="00026E95">
              <w:rPr>
                <w:noProof/>
                <w:webHidden/>
              </w:rPr>
              <w:fldChar w:fldCharType="end"/>
            </w:r>
          </w:hyperlink>
        </w:p>
        <w:p w:rsidR="00026E95" w:rsidRDefault="00D503A4">
          <w:pPr>
            <w:pStyle w:val="TDC1"/>
            <w:tabs>
              <w:tab w:val="left" w:pos="440"/>
              <w:tab w:val="right" w:leader="dot" w:pos="8494"/>
            </w:tabs>
            <w:rPr>
              <w:rFonts w:asciiTheme="minorHAnsi" w:eastAsiaTheme="minorEastAsia" w:hAnsiTheme="minorHAnsi" w:cstheme="minorBidi"/>
              <w:noProof/>
              <w:szCs w:val="22"/>
            </w:rPr>
          </w:pPr>
          <w:hyperlink w:anchor="_Toc291939272" w:history="1">
            <w:r w:rsidR="00026E95" w:rsidRPr="00F44E46">
              <w:rPr>
                <w:rStyle w:val="Hipervnculo"/>
                <w:noProof/>
              </w:rPr>
              <w:t>6.</w:t>
            </w:r>
            <w:r w:rsidR="00026E95">
              <w:rPr>
                <w:rFonts w:asciiTheme="minorHAnsi" w:eastAsiaTheme="minorEastAsia" w:hAnsiTheme="minorHAnsi" w:cstheme="minorBidi"/>
                <w:noProof/>
                <w:szCs w:val="22"/>
              </w:rPr>
              <w:tab/>
            </w:r>
            <w:r w:rsidR="00026E95" w:rsidRPr="00F44E46">
              <w:rPr>
                <w:rStyle w:val="Hipervnculo"/>
                <w:noProof/>
              </w:rPr>
              <w:t>CONCLUSIONES</w:t>
            </w:r>
            <w:r w:rsidR="00026E95">
              <w:rPr>
                <w:noProof/>
                <w:webHidden/>
              </w:rPr>
              <w:tab/>
            </w:r>
            <w:r w:rsidR="00026E95">
              <w:rPr>
                <w:noProof/>
                <w:webHidden/>
              </w:rPr>
              <w:fldChar w:fldCharType="begin"/>
            </w:r>
            <w:r w:rsidR="00026E95">
              <w:rPr>
                <w:noProof/>
                <w:webHidden/>
              </w:rPr>
              <w:instrText xml:space="preserve"> PAGEREF _Toc291939272 \h </w:instrText>
            </w:r>
            <w:r w:rsidR="00026E95">
              <w:rPr>
                <w:noProof/>
                <w:webHidden/>
              </w:rPr>
            </w:r>
            <w:r w:rsidR="00026E95">
              <w:rPr>
                <w:noProof/>
                <w:webHidden/>
              </w:rPr>
              <w:fldChar w:fldCharType="separate"/>
            </w:r>
            <w:r w:rsidR="008A546C">
              <w:rPr>
                <w:noProof/>
                <w:webHidden/>
              </w:rPr>
              <w:t>27</w:t>
            </w:r>
            <w:r w:rsidR="00026E95">
              <w:rPr>
                <w:noProof/>
                <w:webHidden/>
              </w:rPr>
              <w:fldChar w:fldCharType="end"/>
            </w:r>
          </w:hyperlink>
        </w:p>
        <w:p w:rsidR="00026E95" w:rsidRDefault="00D503A4">
          <w:pPr>
            <w:pStyle w:val="TDC1"/>
            <w:tabs>
              <w:tab w:val="left" w:pos="440"/>
              <w:tab w:val="right" w:leader="dot" w:pos="8494"/>
            </w:tabs>
            <w:rPr>
              <w:rFonts w:asciiTheme="minorHAnsi" w:eastAsiaTheme="minorEastAsia" w:hAnsiTheme="minorHAnsi" w:cstheme="minorBidi"/>
              <w:noProof/>
              <w:szCs w:val="22"/>
            </w:rPr>
          </w:pPr>
          <w:hyperlink w:anchor="_Toc291939273" w:history="1">
            <w:r w:rsidR="00026E95" w:rsidRPr="00F44E46">
              <w:rPr>
                <w:rStyle w:val="Hipervnculo"/>
                <w:noProof/>
              </w:rPr>
              <w:t>7.</w:t>
            </w:r>
            <w:r w:rsidR="00026E95">
              <w:rPr>
                <w:rFonts w:asciiTheme="minorHAnsi" w:eastAsiaTheme="minorEastAsia" w:hAnsiTheme="minorHAnsi" w:cstheme="minorBidi"/>
                <w:noProof/>
                <w:szCs w:val="22"/>
              </w:rPr>
              <w:tab/>
            </w:r>
            <w:r w:rsidR="00026E95" w:rsidRPr="00F44E46">
              <w:rPr>
                <w:rStyle w:val="Hipervnculo"/>
                <w:noProof/>
              </w:rPr>
              <w:t>BIBLIOGRAFÍA</w:t>
            </w:r>
            <w:r w:rsidR="00026E95">
              <w:rPr>
                <w:noProof/>
                <w:webHidden/>
              </w:rPr>
              <w:tab/>
            </w:r>
            <w:r w:rsidR="00026E95">
              <w:rPr>
                <w:noProof/>
                <w:webHidden/>
              </w:rPr>
              <w:fldChar w:fldCharType="begin"/>
            </w:r>
            <w:r w:rsidR="00026E95">
              <w:rPr>
                <w:noProof/>
                <w:webHidden/>
              </w:rPr>
              <w:instrText xml:space="preserve"> PAGEREF _Toc291939273 \h </w:instrText>
            </w:r>
            <w:r w:rsidR="00026E95">
              <w:rPr>
                <w:noProof/>
                <w:webHidden/>
              </w:rPr>
            </w:r>
            <w:r w:rsidR="00026E95">
              <w:rPr>
                <w:noProof/>
                <w:webHidden/>
              </w:rPr>
              <w:fldChar w:fldCharType="separate"/>
            </w:r>
            <w:r w:rsidR="008A546C">
              <w:rPr>
                <w:noProof/>
                <w:webHidden/>
              </w:rPr>
              <w:t>29</w:t>
            </w:r>
            <w:r w:rsidR="00026E95">
              <w:rPr>
                <w:noProof/>
                <w:webHidden/>
              </w:rPr>
              <w:fldChar w:fldCharType="end"/>
            </w:r>
          </w:hyperlink>
        </w:p>
        <w:p w:rsidR="006B44D3" w:rsidRDefault="006B44D3">
          <w:r>
            <w:rPr>
              <w:b/>
              <w:bCs/>
            </w:rPr>
            <w:fldChar w:fldCharType="end"/>
          </w:r>
        </w:p>
      </w:sdtContent>
    </w:sdt>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Default="006F0864"/>
    <w:p w:rsidR="006F0864" w:rsidRPr="00016950" w:rsidRDefault="008136AB" w:rsidP="00331C39">
      <w:pPr>
        <w:pStyle w:val="Ttulo1"/>
        <w:numPr>
          <w:ilvl w:val="0"/>
          <w:numId w:val="18"/>
        </w:numPr>
      </w:pPr>
      <w:bookmarkStart w:id="1" w:name="_Toc291939253"/>
      <w:r w:rsidRPr="00016950">
        <w:lastRenderedPageBreak/>
        <w:t>INTRODUCCIÓN</w:t>
      </w:r>
      <w:bookmarkEnd w:id="1"/>
    </w:p>
    <w:p w:rsidR="008136AB" w:rsidRDefault="008136AB"/>
    <w:p w:rsidR="00D30D74" w:rsidRDefault="00280519" w:rsidP="00280519">
      <w:pPr>
        <w:jc w:val="both"/>
      </w:pPr>
      <w:r>
        <w:t xml:space="preserve">La crisis económica ha provocado muchos cambios en las decisiones de las familias, </w:t>
      </w:r>
      <w:r w:rsidR="00D30D74">
        <w:t>que han tenido que adaptarse a esta situación.</w:t>
      </w:r>
      <w:r>
        <w:t xml:space="preserve"> Una de las decisiones más importantes durante estos</w:t>
      </w:r>
      <w:r w:rsidR="00D30D74">
        <w:t xml:space="preserve"> primeros</w:t>
      </w:r>
      <w:r>
        <w:t xml:space="preserve"> años de crisis ha sido la de incrementar </w:t>
      </w:r>
      <w:r w:rsidR="00D30D74">
        <w:t>el ahorro y por tanto, reducir el consumo</w:t>
      </w:r>
      <w:r>
        <w:t>. En este sentido, la tasa de ahorro de los hogares (que se define como la parte de la renta disponible</w:t>
      </w:r>
      <w:r w:rsidR="00D30D74">
        <w:t xml:space="preserve"> bruta</w:t>
      </w:r>
      <w:r>
        <w:t xml:space="preserve"> que se destina al ahorro y no al consumo) ha </w:t>
      </w:r>
      <w:r w:rsidR="00D30D74">
        <w:t>experimentado</w:t>
      </w:r>
      <w:r>
        <w:t xml:space="preserve"> un cambio </w:t>
      </w:r>
      <w:r w:rsidR="00935D58">
        <w:t>muy importante</w:t>
      </w:r>
      <w:r>
        <w:t xml:space="preserve">, pues de situarse entre 2000 y 2007 en torno al 10 y 11% de la renta </w:t>
      </w:r>
      <w:r w:rsidR="00935D58">
        <w:t xml:space="preserve">disponible </w:t>
      </w:r>
      <w:r>
        <w:t>bruta ha pasado a elevarse en 2009 hasta el 18,8%. Este cambio</w:t>
      </w:r>
      <w:r w:rsidR="00D30D74">
        <w:t>, como se puede apreciar en el gráfico 1,</w:t>
      </w:r>
      <w:r>
        <w:t xml:space="preserve"> ha sido mucho mayor </w:t>
      </w:r>
      <w:r w:rsidR="00E3660B">
        <w:t>que en el resto de países de la</w:t>
      </w:r>
      <w:r>
        <w:t xml:space="preserve"> Unión Europea, donde de media se ha pasado de una tasa de ahorro familiar comprendida entre el 11 y 12% de la renta disponible</w:t>
      </w:r>
      <w:r w:rsidR="00481A69">
        <w:t xml:space="preserve"> bruta</w:t>
      </w:r>
      <w:r>
        <w:t xml:space="preserve"> desde 2000 a 2007 a un nivel del 13,51% en 2009.</w:t>
      </w:r>
    </w:p>
    <w:p w:rsidR="00D30D74" w:rsidRDefault="00D30D74" w:rsidP="00280519">
      <w:pPr>
        <w:jc w:val="both"/>
      </w:pPr>
    </w:p>
    <w:p w:rsidR="00D30D74" w:rsidRDefault="00D30D74" w:rsidP="00280519">
      <w:pPr>
        <w:jc w:val="both"/>
      </w:pPr>
    </w:p>
    <w:p w:rsidR="00D30D74" w:rsidRPr="009E2D71" w:rsidRDefault="00D30D74" w:rsidP="00D30D74">
      <w:pPr>
        <w:jc w:val="center"/>
        <w:rPr>
          <w:b/>
        </w:rPr>
      </w:pPr>
      <w:r w:rsidRPr="009E2D71">
        <w:rPr>
          <w:b/>
        </w:rPr>
        <w:t xml:space="preserve">Gráfico </w:t>
      </w:r>
      <w:r>
        <w:rPr>
          <w:b/>
        </w:rPr>
        <w:t>1</w:t>
      </w:r>
      <w:r w:rsidRPr="009E2D71">
        <w:rPr>
          <w:b/>
        </w:rPr>
        <w:t>. Tasa de Ahorro de los Hogares (%RDB) (2000-2009)</w:t>
      </w:r>
    </w:p>
    <w:p w:rsidR="00D30D74" w:rsidRDefault="00C74CBA" w:rsidP="00151483">
      <w:pPr>
        <w:jc w:val="center"/>
      </w:pPr>
      <w:r>
        <w:rPr>
          <w:noProof/>
          <w:lang w:val="es-ES_tradnl" w:eastAsia="es-ES_tradnl"/>
        </w:rPr>
        <w:drawing>
          <wp:inline distT="0" distB="0" distL="0" distR="0" wp14:anchorId="12E2F623" wp14:editId="28096AB8">
            <wp:extent cx="5476875" cy="2457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l="3535" t="6228" r="1381" b="4498"/>
                    <a:stretch/>
                  </pic:blipFill>
                  <pic:spPr bwMode="auto">
                    <a:xfrm>
                      <a:off x="0" y="0"/>
                      <a:ext cx="5483191" cy="2460284"/>
                    </a:xfrm>
                    <a:prstGeom prst="rect">
                      <a:avLst/>
                    </a:prstGeom>
                    <a:noFill/>
                    <a:ln>
                      <a:noFill/>
                    </a:ln>
                    <a:extLst>
                      <a:ext uri="{53640926-AAD7-44D8-BBD7-CCE9431645EC}">
                        <a14:shadowObscured xmlns:a14="http://schemas.microsoft.com/office/drawing/2010/main"/>
                      </a:ext>
                    </a:extLst>
                  </pic:spPr>
                </pic:pic>
              </a:graphicData>
            </a:graphic>
          </wp:inline>
        </w:drawing>
      </w:r>
    </w:p>
    <w:p w:rsidR="00D30D74" w:rsidRPr="00D30D74" w:rsidRDefault="00D30D74" w:rsidP="00D30D74">
      <w:pPr>
        <w:jc w:val="center"/>
        <w:rPr>
          <w:b/>
          <w:sz w:val="20"/>
        </w:rPr>
      </w:pPr>
      <w:r w:rsidRPr="00D30D74">
        <w:rPr>
          <w:b/>
          <w:sz w:val="20"/>
        </w:rPr>
        <w:t>Fuente: Elaboración propia. Datos de EUROSTAT</w:t>
      </w:r>
    </w:p>
    <w:p w:rsidR="00D30D74" w:rsidRDefault="00D30D74" w:rsidP="00280519">
      <w:pPr>
        <w:jc w:val="both"/>
      </w:pPr>
    </w:p>
    <w:p w:rsidR="00D30D74" w:rsidRDefault="00D30D74" w:rsidP="00280519">
      <w:pPr>
        <w:jc w:val="both"/>
      </w:pPr>
    </w:p>
    <w:p w:rsidR="00D30D74" w:rsidRDefault="00D30D74" w:rsidP="00280519">
      <w:pPr>
        <w:jc w:val="both"/>
      </w:pPr>
      <w:r>
        <w:t xml:space="preserve">Indagar en este hecho se antoja necesario a causa de la importancia del ahorro en la economía. </w:t>
      </w:r>
      <w:r w:rsidR="00280519">
        <w:t>Desde un punto de vista microeconómico el ahorro permite a las familias distribuir de forma homogénea su consumo en función de la renta que percibirán durante toda su vida (</w:t>
      </w:r>
      <w:proofErr w:type="spellStart"/>
      <w:r w:rsidR="00280519">
        <w:t>Uxó</w:t>
      </w:r>
      <w:proofErr w:type="spellEnd"/>
      <w:r w:rsidR="00280519">
        <w:t>, 2010), a la vez que ayuda a  protegerse de situaciones de riesgo como la actual de crisis económica. Sin embargo, el ahorro tiene también consecuencias macroeconómicas, ya que en primer lugar, permite acumular el capital necesario para que la economía produzca y así poder asegurarse el adecuado nivel de crecimiento</w:t>
      </w:r>
      <w:r w:rsidR="00E5591C">
        <w:t xml:space="preserve">. </w:t>
      </w:r>
      <w:r w:rsidR="00280519">
        <w:t>En segundo lugar, el ahorro afecta al crecimiento a largo plazo</w:t>
      </w:r>
      <w:r>
        <w:t xml:space="preserve"> de una economía</w:t>
      </w:r>
      <w:r w:rsidR="00280519">
        <w:t xml:space="preserve"> (</w:t>
      </w:r>
      <w:proofErr w:type="spellStart"/>
      <w:r w:rsidR="00280519">
        <w:t>Blanchard</w:t>
      </w:r>
      <w:proofErr w:type="spellEnd"/>
      <w:r w:rsidR="00280519">
        <w:t xml:space="preserve">, 2006). Por último, el ahorro tiene una importancia fundamental en el ciclo económico. </w:t>
      </w:r>
      <w:r>
        <w:t xml:space="preserve">(Huerta de Soto, 2009; </w:t>
      </w:r>
      <w:proofErr w:type="spellStart"/>
      <w:r>
        <w:t>Garrison</w:t>
      </w:r>
      <w:proofErr w:type="spellEnd"/>
      <w:r>
        <w:t xml:space="preserve">, </w:t>
      </w:r>
      <w:r w:rsidR="00280519">
        <w:t xml:space="preserve">2005) </w:t>
      </w:r>
    </w:p>
    <w:p w:rsidR="00D30D74" w:rsidRDefault="00D30D74" w:rsidP="00280519">
      <w:pPr>
        <w:jc w:val="both"/>
      </w:pPr>
    </w:p>
    <w:p w:rsidR="00280519" w:rsidRDefault="00D30D74" w:rsidP="00280519">
      <w:pPr>
        <w:jc w:val="both"/>
      </w:pPr>
      <w:r>
        <w:t>Ante una</w:t>
      </w:r>
      <w:r w:rsidR="00280519">
        <w:t xml:space="preserve"> situación</w:t>
      </w:r>
      <w:r>
        <w:t xml:space="preserve"> de crisis económica</w:t>
      </w:r>
      <w:r w:rsidR="00280519">
        <w:t xml:space="preserve">, </w:t>
      </w:r>
      <w:r w:rsidR="00E5591C">
        <w:t xml:space="preserve">Laborda (2008) indica que </w:t>
      </w:r>
      <w:r w:rsidR="00280519">
        <w:t>los hogare</w:t>
      </w:r>
      <w:r>
        <w:t>s incrementan su tasa de ahorro</w:t>
      </w:r>
      <w:r w:rsidR="00280519">
        <w:t xml:space="preserve"> </w:t>
      </w:r>
      <w:r>
        <w:t xml:space="preserve">para </w:t>
      </w:r>
      <w:r w:rsidR="00E5591C">
        <w:t>poder</w:t>
      </w:r>
      <w:r w:rsidR="00280519">
        <w:t xml:space="preserve"> hacer frente a sus pagos por el ende</w:t>
      </w:r>
      <w:r w:rsidR="00E5591C">
        <w:t>udamiento en que están inmersos</w:t>
      </w:r>
      <w:r w:rsidR="00280519">
        <w:t xml:space="preserve">. </w:t>
      </w:r>
      <w:r w:rsidR="00935D58">
        <w:t>Además</w:t>
      </w:r>
      <w:r w:rsidR="00280519">
        <w:t xml:space="preserve">, al cambiar sus expectativas, </w:t>
      </w:r>
      <w:r w:rsidR="00E5591C">
        <w:t xml:space="preserve">debido también a la pérdida de puestos de trabajo, </w:t>
      </w:r>
      <w:r w:rsidR="00280519">
        <w:t>los hogares ahorran como precaución ante la incertidumbre surgida. P</w:t>
      </w:r>
      <w:r w:rsidR="00E5591C">
        <w:t>ara este autor</w:t>
      </w:r>
      <w:r w:rsidR="00280519">
        <w:t xml:space="preserve"> el incremento de la tasa de ahorro familiar en tiempos de crisis es necesario, pues de esta forma se modera el gasto en consumo e inversión, cuyo crecimiento en tiempos de bonanza había sido excesivo. También ayuda a las familias a disminuir su endeudamiento y corregir los desequilibrios financieros.</w:t>
      </w:r>
    </w:p>
    <w:p w:rsidR="00FB35B9" w:rsidRPr="00016950" w:rsidRDefault="00FB35B9" w:rsidP="00331C39">
      <w:pPr>
        <w:pStyle w:val="Ttulo1"/>
        <w:numPr>
          <w:ilvl w:val="0"/>
          <w:numId w:val="18"/>
        </w:numPr>
      </w:pPr>
      <w:bookmarkStart w:id="2" w:name="_Toc291939254"/>
      <w:r w:rsidRPr="00016950">
        <w:lastRenderedPageBreak/>
        <w:t>LITERATURA PREVIA</w:t>
      </w:r>
      <w:bookmarkEnd w:id="2"/>
      <w:r w:rsidRPr="00016950">
        <w:t xml:space="preserve"> </w:t>
      </w:r>
    </w:p>
    <w:p w:rsidR="00FB35B9" w:rsidRDefault="00FB35B9"/>
    <w:p w:rsidR="00FB35B9" w:rsidRDefault="00FB35B9"/>
    <w:p w:rsidR="007F225A" w:rsidRDefault="007F225A" w:rsidP="00FB35B9">
      <w:pPr>
        <w:jc w:val="both"/>
      </w:pPr>
      <w:r>
        <w:t>L</w:t>
      </w:r>
      <w:r w:rsidR="00FB35B9">
        <w:t>os estudios sobre el ahorro familiar se han realizado tanto desde un punto de vista macroeconómico como microeconómico.</w:t>
      </w:r>
      <w:r>
        <w:t xml:space="preserve"> En general, se puede dividir la literatura empírica del ahorro familiar en dos tendencias. Una tendencia permite analizar los factores estructurales que determinan la propensión a ahorrar de los hogares, mientras que la otra tendencia analiza la influencia del ciclo económico en la decisión de las familias de ahorrar.</w:t>
      </w:r>
    </w:p>
    <w:p w:rsidR="007F225A" w:rsidRDefault="007F225A" w:rsidP="00FB35B9">
      <w:pPr>
        <w:jc w:val="both"/>
      </w:pPr>
    </w:p>
    <w:p w:rsidR="00FB35B9" w:rsidRDefault="007F225A" w:rsidP="00FB35B9">
      <w:pPr>
        <w:jc w:val="both"/>
      </w:pPr>
      <w:r>
        <w:t>Desde un punto de vista estructural,</w:t>
      </w:r>
      <w:r w:rsidR="00FB35B9">
        <w:t xml:space="preserve"> Oliver, Raymond y </w:t>
      </w:r>
      <w:proofErr w:type="spellStart"/>
      <w:r w:rsidR="00FB35B9">
        <w:t>Pujolar</w:t>
      </w:r>
      <w:proofErr w:type="spellEnd"/>
      <w:r w:rsidR="00FB35B9">
        <w:t xml:space="preserve"> (1997) señalan que desde una perspectiva macro se ha buscado justificar la existencia de círculos virtuosos de la pobreza, a través de la conexión entre tasa de ahorro y crecimiento, mientras que desde el punto de vista microeconómico se ha buscado comprobar el comportamiento de las personas en función de los tramos de edades. </w:t>
      </w:r>
      <w:r w:rsidR="00DC06F5">
        <w:t>Estos mismos autores afirman que</w:t>
      </w:r>
      <w:r w:rsidR="00FB35B9">
        <w:t xml:space="preserve"> los españoles jubilados tienen una renta generada menor que la efectivamente recibida y un elevado consumo de sanidad pública. Ello provoca un ahorro negativo, mientras que el resto de población posee ta</w:t>
      </w:r>
      <w:r w:rsidR="00DC06F5">
        <w:t xml:space="preserve">sas de ahorro positivas. </w:t>
      </w:r>
      <w:r w:rsidR="00405D5B">
        <w:t>Por su parte</w:t>
      </w:r>
      <w:r w:rsidR="00FB35B9">
        <w:t xml:space="preserve">, Alegre y </w:t>
      </w:r>
      <w:proofErr w:type="spellStart"/>
      <w:r w:rsidR="00FB35B9">
        <w:t>Pou</w:t>
      </w:r>
      <w:proofErr w:type="spellEnd"/>
      <w:r w:rsidR="00FB35B9">
        <w:t xml:space="preserve"> (2008) concluyen que la tasa de ahorro sigue una forma de U invertida entre los 27 y 45 años, para posteriormente describir una tray</w:t>
      </w:r>
      <w:r w:rsidR="00DC06F5">
        <w:t xml:space="preserve">ectoria creciente con la edad. </w:t>
      </w:r>
      <w:r w:rsidR="00FB35B9">
        <w:t xml:space="preserve">También </w:t>
      </w:r>
      <w:r w:rsidR="00DC06F5">
        <w:t>afirman</w:t>
      </w:r>
      <w:r w:rsidR="00FB35B9">
        <w:t xml:space="preserve"> que cada generación ahorra un porcentaje mayor de su renta la generación precedente. </w:t>
      </w:r>
    </w:p>
    <w:p w:rsidR="00FB35B9" w:rsidRDefault="00FB35B9" w:rsidP="00FB35B9">
      <w:pPr>
        <w:jc w:val="both"/>
      </w:pPr>
    </w:p>
    <w:p w:rsidR="00FB35B9" w:rsidRDefault="003A2EF8" w:rsidP="00FB35B9">
      <w:pPr>
        <w:jc w:val="both"/>
      </w:pPr>
      <w:r>
        <w:t>Desde el punto de vista de</w:t>
      </w:r>
      <w:r w:rsidR="00FB35B9">
        <w:t xml:space="preserve"> la conducta del ahorro de los hogares jóvenes, Núñez (2007) señala que el consumo de estos hogares está condicionado por la existencia de restricciones de liquidez, por la necesidad de acumular una proporción de activos líquidos como paso previo para obtener financiación para la adquisición de vivienda, por el deseo de crear unos activos que sirvan de amortiguación ante situaciones de incertidumbre y por la existencia de hábitos que crean una relación de complementariedad entre el consumo corriente y el pasado. El autor concluye que las familias jóvenes presentan niveles y tasas positivas de ahorro; que la renta y el consumo tiene un perfil de forma de U invertida; que el ahorro está correlacionado positivamente con la renta, la riqueza y el nivel educativo del cabeza de familia; y que el crecimiento de la tasa de propiedad de vivienda en esta fase de juventud conlleva un notable esfuerzo de ahorro. Por último, se indica que existe más evidencia a favor de una relación positiva entre el crecimiento de la renta y la tasa de ahorro que de una relación negativa, al menos en el caso de los hogares jóvenes españoles. </w:t>
      </w:r>
    </w:p>
    <w:p w:rsidR="00FB35B9" w:rsidRDefault="00FB35B9" w:rsidP="00FB35B9">
      <w:pPr>
        <w:jc w:val="both"/>
      </w:pPr>
    </w:p>
    <w:p w:rsidR="00FB35B9" w:rsidRDefault="00FB35B9" w:rsidP="00FB35B9">
      <w:pPr>
        <w:jc w:val="both"/>
      </w:pPr>
      <w:r>
        <w:t xml:space="preserve">Raymond (2004) en su análisis microeconómico también concluye que el envejecimiento de la población lleva asociado un efecto negativo sobre la oferta de ahorro. </w:t>
      </w:r>
      <w:r w:rsidRPr="001E4D60">
        <w:t>A su vez, indica que la tasa de ahorro no necesariamente aumenta con el nivel de renta.</w:t>
      </w:r>
      <w:r>
        <w:t xml:space="preserve"> Por último, desde el punto de vista macroeconómico, señala que los individuos en edad activa ahorran y la población envejecida desahorra, lo que implica que la tasa agregada de ahorro dependerá positivamente de la tasa de crecimiento económico, lo que abre la posibilidad de que las economías puedan hallarse en un proceso virtuoso de crecimiento y ahorro. La evidencia presentada indica un efecto más intenso del crecimiento sobre el ahorro y un efecto débil pero positivo del ahorro sobre el crecimiento. </w:t>
      </w:r>
    </w:p>
    <w:p w:rsidR="00FB35B9" w:rsidRDefault="00FB35B9" w:rsidP="00FB35B9">
      <w:pPr>
        <w:jc w:val="both"/>
      </w:pPr>
    </w:p>
    <w:p w:rsidR="00FB35B9" w:rsidRDefault="00405D5B" w:rsidP="00FB35B9">
      <w:pPr>
        <w:jc w:val="both"/>
      </w:pPr>
      <w:r>
        <w:t>E</w:t>
      </w:r>
      <w:r w:rsidR="00FB35B9">
        <w:t xml:space="preserve">n lo relativo a la relación entre los distintos tipos de ahorro, </w:t>
      </w:r>
      <w:proofErr w:type="spellStart"/>
      <w:r w:rsidR="00FB35B9">
        <w:t>Argimón</w:t>
      </w:r>
      <w:proofErr w:type="spellEnd"/>
      <w:r w:rsidR="00FB35B9">
        <w:t xml:space="preserve"> (1997) señala, para el caso de la Unión Europea, que la respuesta del consumo a las variables del sector público depende del horizonte temporal considerado, aunque incide en que a corto plazo la renta disponible familiar es una variable relevante para las decisiones de consumo y ahorro, mientras que a largo plazo parecen descontar los impuestos. También parece indicar que los consumidores no integran la renta empresarial con la </w:t>
      </w:r>
      <w:r w:rsidR="00FB35B9">
        <w:lastRenderedPageBreak/>
        <w:t xml:space="preserve">familiar en el largo plazo, mientras que en el corto son poco intuitivos, aunque cabe pensar que existen componentes comunes que influyen sobre ambos componentes del ahorro y que generan respuestas contrarias, que en el largo plazo se compensan. Por último, se indica que las medidas fiscales de estímulo al ahorro pueden ser efectivas en el corto plazo. </w:t>
      </w:r>
    </w:p>
    <w:p w:rsidR="00FB35B9" w:rsidRDefault="00FB35B9" w:rsidP="00FB35B9"/>
    <w:p w:rsidR="00CF1C85" w:rsidRDefault="00E4593E" w:rsidP="00FB35B9">
      <w:pPr>
        <w:jc w:val="both"/>
      </w:pPr>
      <w:r>
        <w:t>Desde la perspectiva de</w:t>
      </w:r>
      <w:r w:rsidR="00FB35B9">
        <w:t xml:space="preserve"> la influencia del tipo de interés sobre la tasa de ahorro, ésta es mayor en España que en el conjunto de los países de la OCDE</w:t>
      </w:r>
      <w:r>
        <w:t xml:space="preserve">, según concluyen </w:t>
      </w:r>
      <w:r w:rsidR="00FB35B9">
        <w:t>D</w:t>
      </w:r>
      <w:r>
        <w:t>omínguez y López del Paso (2007)</w:t>
      </w:r>
      <w:r w:rsidR="00FB35B9">
        <w:t>.</w:t>
      </w:r>
    </w:p>
    <w:p w:rsidR="00CF1C85" w:rsidRDefault="00CF1C85" w:rsidP="00FB35B9">
      <w:pPr>
        <w:jc w:val="both"/>
      </w:pPr>
    </w:p>
    <w:p w:rsidR="00FB35B9" w:rsidRDefault="00CF1C85" w:rsidP="00FB35B9">
      <w:pPr>
        <w:jc w:val="both"/>
      </w:pPr>
      <w:r>
        <w:t xml:space="preserve">Dejando a un lado los factores estructurales que afectan a la decisión de ahorro, si se atiende a la influencia del ciclo económico en la propensión a ahorrar de las familias, </w:t>
      </w:r>
      <w:r w:rsidR="00FB35B9">
        <w:t xml:space="preserve"> Sastre y Martínez (200</w:t>
      </w:r>
      <w:r>
        <w:t xml:space="preserve">8) </w:t>
      </w:r>
      <w:r w:rsidR="00FB35B9">
        <w:t>indica</w:t>
      </w:r>
      <w:r>
        <w:t>n</w:t>
      </w:r>
      <w:r w:rsidR="00FB35B9">
        <w:t xml:space="preserve"> que en la distribución de la disponibilidad del ahorro entre los consumidores españoles, hay una fuerte influencia de la renta y el ciclo económico sobre la capacidad del ahorro, así como una depe</w:t>
      </w:r>
      <w:r>
        <w:t>ndencia con respecto a la edad. L</w:t>
      </w:r>
      <w:r w:rsidR="00FB35B9">
        <w:t xml:space="preserve">os autores concluyen que en el caso de los desempleados la restricción que suponen los ingresos domina sobre cualquier hipotético deseo de ahorrar para protegerse frente a situaciones adversas futuras. </w:t>
      </w:r>
    </w:p>
    <w:p w:rsidR="00FB35B9" w:rsidRDefault="00FB35B9" w:rsidP="00FB35B9"/>
    <w:p w:rsidR="00FB35B9" w:rsidRDefault="00CF1C85" w:rsidP="00FB35B9">
      <w:pPr>
        <w:jc w:val="both"/>
      </w:pPr>
      <w:r>
        <w:t>Desde</w:t>
      </w:r>
      <w:r w:rsidR="00FB35B9">
        <w:t xml:space="preserve"> un punto de vista regional, Marchante y Ortega (1998) sostienen que existen importantes disparidades en el ahorro familiar bruto por habitante y en las correspondientes tasas de ahorro entre las comunidades autónomas. Las diferencias espaciales pueden ser explicadas por la existencia de factores regionales. </w:t>
      </w:r>
    </w:p>
    <w:p w:rsidR="00FB35B9" w:rsidRDefault="00FB35B9" w:rsidP="00FB35B9"/>
    <w:p w:rsidR="00FB35B9" w:rsidRDefault="00405D5B" w:rsidP="00FB35B9">
      <w:pPr>
        <w:jc w:val="both"/>
      </w:pPr>
      <w:r>
        <w:t xml:space="preserve">A su vez, </w:t>
      </w:r>
      <w:r w:rsidR="00314B0E">
        <w:t xml:space="preserve">Desde la perspectiva de un ciclo económico expansivo, </w:t>
      </w:r>
      <w:proofErr w:type="spellStart"/>
      <w:r w:rsidR="00FB35B9">
        <w:t>Carbó</w:t>
      </w:r>
      <w:proofErr w:type="spellEnd"/>
      <w:r w:rsidR="00FB35B9">
        <w:t xml:space="preserve">, Masilla y Maqui (2009) realiza un análisis de la evolución del ahorro familiar entre 1998 y 2008, reflexionando sobre la posible evolución de este ahorro y sus causas, entre las que son importantes la confianza en los mercados bursátiles y la riqueza financiera. </w:t>
      </w:r>
    </w:p>
    <w:p w:rsidR="00FB35B9" w:rsidRDefault="00FB35B9" w:rsidP="00FB35B9">
      <w:pPr>
        <w:jc w:val="both"/>
      </w:pPr>
    </w:p>
    <w:p w:rsidR="00FB35B9" w:rsidRDefault="00FB35B9" w:rsidP="00FB35B9">
      <w:pPr>
        <w:jc w:val="both"/>
      </w:pPr>
      <w:r>
        <w:t>Por su parte</w:t>
      </w:r>
      <w:r w:rsidR="00314B0E">
        <w:t>, desde la situación de una coyuntura recesiva</w:t>
      </w:r>
      <w:r>
        <w:t xml:space="preserve">, Laborda (2008) analiza la conveniencia de ahorrar en tiempos de crisis, indicando que aumentar el ahorro es una condición </w:t>
      </w:r>
      <w:r>
        <w:rPr>
          <w:i/>
        </w:rPr>
        <w:t>sine qua non</w:t>
      </w:r>
      <w:r>
        <w:t xml:space="preserve"> para iniciar la recuperación, puesto que ésta no podría iniciarse bien con unas posiciones económico-financieras de familias y empresas excesivamente desequilibradas. Señala además que aunque el incremento del ahorro modera el consumo y esto provoca, junto con la reducción de la inversión en capital fijo, la contracción el PIB, este proceso es inevitable si antes y durante un periodo prolongado ha habido un exceso de consumo e inversión. </w:t>
      </w:r>
    </w:p>
    <w:p w:rsidR="00FB35B9" w:rsidRDefault="00FB35B9"/>
    <w:p w:rsidR="00314B0E" w:rsidRDefault="00314B0E"/>
    <w:p w:rsidR="00314B0E" w:rsidRDefault="00314B0E"/>
    <w:p w:rsidR="00314B0E" w:rsidRDefault="00314B0E"/>
    <w:p w:rsidR="00016950" w:rsidRDefault="00016950"/>
    <w:p w:rsidR="00016950" w:rsidRDefault="00016950"/>
    <w:p w:rsidR="00016950" w:rsidRDefault="00016950"/>
    <w:p w:rsidR="00314B0E" w:rsidRDefault="00314B0E"/>
    <w:p w:rsidR="00314B0E" w:rsidRDefault="00314B0E"/>
    <w:p w:rsidR="00712A7C" w:rsidRDefault="00712A7C"/>
    <w:p w:rsidR="00712A7C" w:rsidRDefault="00712A7C"/>
    <w:p w:rsidR="00712A7C" w:rsidRDefault="00712A7C"/>
    <w:p w:rsidR="00314B0E" w:rsidRDefault="00314B0E"/>
    <w:p w:rsidR="00016950" w:rsidRDefault="00016950"/>
    <w:p w:rsidR="00016950" w:rsidRDefault="00016950"/>
    <w:p w:rsidR="008136AB" w:rsidRPr="00016950" w:rsidRDefault="008136AB" w:rsidP="00331C39">
      <w:pPr>
        <w:pStyle w:val="Ttulo1"/>
        <w:numPr>
          <w:ilvl w:val="0"/>
          <w:numId w:val="18"/>
        </w:numPr>
      </w:pPr>
      <w:bookmarkStart w:id="3" w:name="_Toc291939255"/>
      <w:r w:rsidRPr="00016950">
        <w:lastRenderedPageBreak/>
        <w:t>OBJETIVOS DEL TRABAJO</w:t>
      </w:r>
      <w:bookmarkEnd w:id="3"/>
    </w:p>
    <w:p w:rsidR="008136AB" w:rsidRDefault="008136AB"/>
    <w:p w:rsidR="009E2D71" w:rsidRDefault="00C77DE5" w:rsidP="00C77DE5">
      <w:pPr>
        <w:jc w:val="both"/>
      </w:pPr>
      <w:r>
        <w:t xml:space="preserve">En la introducción se ha indicado el cambio que ha experimentado la tasa de ahorro de los hogares en </w:t>
      </w:r>
      <w:r w:rsidR="00D64968">
        <w:t>diversos países europeos</w:t>
      </w:r>
      <w:r>
        <w:t xml:space="preserve">. El gráfico 2 permite analizar este cambio para el caso específico de España. Desde 2008 la tasa de ahorro de los hogares ha aumentado hasta el 18,8% de la renta disponible bruta. Esta evolución choca directamente con la que se venía observando desde 2000. </w:t>
      </w:r>
    </w:p>
    <w:p w:rsidR="00C77DE5" w:rsidRDefault="00C77DE5" w:rsidP="00C77DE5">
      <w:pPr>
        <w:jc w:val="both"/>
      </w:pPr>
    </w:p>
    <w:p w:rsidR="00C77DE5" w:rsidRDefault="00C77DE5" w:rsidP="00C77DE5">
      <w:pPr>
        <w:jc w:val="both"/>
      </w:pPr>
    </w:p>
    <w:p w:rsidR="00A82FB4" w:rsidRDefault="009E2D71" w:rsidP="009E2D71">
      <w:pPr>
        <w:jc w:val="center"/>
        <w:rPr>
          <w:b/>
        </w:rPr>
      </w:pPr>
      <w:r w:rsidRPr="00F74DCE">
        <w:rPr>
          <w:b/>
        </w:rPr>
        <w:t xml:space="preserve">Gráfico </w:t>
      </w:r>
      <w:r w:rsidR="00C77DE5">
        <w:rPr>
          <w:b/>
        </w:rPr>
        <w:t>2</w:t>
      </w:r>
      <w:r w:rsidRPr="00F74DCE">
        <w:rPr>
          <w:b/>
        </w:rPr>
        <w:t>.</w:t>
      </w:r>
      <w:r w:rsidR="00A82FB4">
        <w:rPr>
          <w:b/>
        </w:rPr>
        <w:t xml:space="preserve"> Tasa de Ahorro de los Hogares (2000-2009)</w:t>
      </w:r>
    </w:p>
    <w:p w:rsidR="009E2D71" w:rsidRPr="00D402BB" w:rsidRDefault="009E2D71" w:rsidP="009E2D71">
      <w:pPr>
        <w:jc w:val="center"/>
        <w:rPr>
          <w:b/>
        </w:rPr>
      </w:pPr>
      <w:r>
        <w:rPr>
          <w:b/>
        </w:rPr>
        <w:t xml:space="preserve"> </w:t>
      </w:r>
      <w:r w:rsidRPr="00D402BB">
        <w:rPr>
          <w:b/>
        </w:rPr>
        <w:t>(% sobre la RBD</w:t>
      </w:r>
      <w:r>
        <w:rPr>
          <w:b/>
        </w:rPr>
        <w:t xml:space="preserve"> de los hogares</w:t>
      </w:r>
      <w:r w:rsidRPr="00D402BB">
        <w:rPr>
          <w:b/>
        </w:rPr>
        <w:t>)</w:t>
      </w:r>
    </w:p>
    <w:p w:rsidR="009E2D71" w:rsidRDefault="009E2D71" w:rsidP="00016950">
      <w:pPr>
        <w:jc w:val="center"/>
      </w:pPr>
      <w:r>
        <w:rPr>
          <w:noProof/>
          <w:lang w:val="es-ES_tradnl" w:eastAsia="es-ES_tradnl"/>
        </w:rPr>
        <w:drawing>
          <wp:inline distT="0" distB="0" distL="0" distR="0" wp14:anchorId="0C4FCBB2" wp14:editId="6C461DA4">
            <wp:extent cx="5210175" cy="15335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962" t="22666" r="1731" b="5777"/>
                    <a:stretch/>
                  </pic:blipFill>
                  <pic:spPr bwMode="auto">
                    <a:xfrm>
                      <a:off x="0" y="0"/>
                      <a:ext cx="5210175" cy="1533525"/>
                    </a:xfrm>
                    <a:prstGeom prst="rect">
                      <a:avLst/>
                    </a:prstGeom>
                    <a:noFill/>
                    <a:ln>
                      <a:noFill/>
                    </a:ln>
                    <a:extLst>
                      <a:ext uri="{53640926-AAD7-44D8-BBD7-CCE9431645EC}">
                        <a14:shadowObscured xmlns:a14="http://schemas.microsoft.com/office/drawing/2010/main"/>
                      </a:ext>
                    </a:extLst>
                  </pic:spPr>
                </pic:pic>
              </a:graphicData>
            </a:graphic>
          </wp:inline>
        </w:drawing>
      </w:r>
    </w:p>
    <w:p w:rsidR="009E2D71" w:rsidRPr="00E770D3" w:rsidRDefault="009E2D71" w:rsidP="009E2D71">
      <w:pPr>
        <w:jc w:val="center"/>
        <w:rPr>
          <w:b/>
          <w:sz w:val="20"/>
          <w:szCs w:val="22"/>
        </w:rPr>
      </w:pPr>
      <w:r w:rsidRPr="00E770D3">
        <w:rPr>
          <w:b/>
          <w:sz w:val="20"/>
          <w:szCs w:val="22"/>
        </w:rPr>
        <w:t>Fuente: Elaboración propia. Datos de Contabilidad Nacional de España (INE)</w:t>
      </w:r>
    </w:p>
    <w:p w:rsidR="009E2D71" w:rsidRDefault="009E2D71" w:rsidP="00FB35B9">
      <w:pPr>
        <w:jc w:val="both"/>
      </w:pPr>
    </w:p>
    <w:p w:rsidR="009E2D71" w:rsidRDefault="009E2D71" w:rsidP="00FB35B9">
      <w:pPr>
        <w:jc w:val="both"/>
      </w:pPr>
    </w:p>
    <w:p w:rsidR="00FB35B9" w:rsidRDefault="00C77DE5" w:rsidP="00FB35B9">
      <w:pPr>
        <w:jc w:val="both"/>
      </w:pPr>
      <w:r>
        <w:t>A la vista del anterior dato, e</w:t>
      </w:r>
      <w:r w:rsidR="00FB35B9">
        <w:t xml:space="preserve">l principal objetivo de este trabajo </w:t>
      </w:r>
      <w:r>
        <w:t>es responder</w:t>
      </w:r>
      <w:r w:rsidR="00FB35B9">
        <w:t xml:space="preserve"> a la</w:t>
      </w:r>
      <w:r>
        <w:t>s siguientes preguntas</w:t>
      </w:r>
      <w:r w:rsidR="00FB35B9">
        <w:t>:</w:t>
      </w:r>
    </w:p>
    <w:p w:rsidR="00FB35B9" w:rsidRDefault="00FB35B9" w:rsidP="00FB35B9">
      <w:pPr>
        <w:jc w:val="both"/>
      </w:pPr>
    </w:p>
    <w:p w:rsidR="00FB35B9" w:rsidRDefault="00FB35B9" w:rsidP="00FB35B9">
      <w:pPr>
        <w:jc w:val="both"/>
        <w:rPr>
          <w:i/>
        </w:rPr>
      </w:pPr>
      <w:r w:rsidRPr="00616BDE">
        <w:rPr>
          <w:i/>
        </w:rPr>
        <w:t xml:space="preserve">¿Qué ha provocado este cambio de tendencia durante la crisis económica en la tasa de ahorro de las familias españolas? </w:t>
      </w:r>
    </w:p>
    <w:p w:rsidR="00FB35B9" w:rsidRDefault="00FB35B9" w:rsidP="00FB35B9">
      <w:pPr>
        <w:jc w:val="both"/>
      </w:pPr>
    </w:p>
    <w:p w:rsidR="00B0590C" w:rsidRDefault="00FB35B9" w:rsidP="00FB35B9">
      <w:pPr>
        <w:jc w:val="both"/>
        <w:rPr>
          <w:i/>
        </w:rPr>
      </w:pPr>
      <w:r w:rsidRPr="00616BDE">
        <w:rPr>
          <w:i/>
        </w:rPr>
        <w:t xml:space="preserve">¿Qué consecuencias tienen estas decisiones sobre el conjunto de la economía? </w:t>
      </w:r>
    </w:p>
    <w:p w:rsidR="00B0590C" w:rsidRDefault="00B0590C" w:rsidP="00FB35B9">
      <w:pPr>
        <w:jc w:val="both"/>
        <w:rPr>
          <w:i/>
        </w:rPr>
      </w:pPr>
    </w:p>
    <w:p w:rsidR="00FB35B9" w:rsidRDefault="00FB35B9" w:rsidP="00FB35B9">
      <w:pPr>
        <w:jc w:val="both"/>
      </w:pPr>
      <w:r>
        <w:t>La</w:t>
      </w:r>
      <w:r w:rsidR="00B0590C">
        <w:t xml:space="preserve"> respuesta a la primera pregunta permitirá entender las</w:t>
      </w:r>
      <w:r>
        <w:t xml:space="preserve"> causas del cambio de tendencia de la tasa de ahorro familiar de España</w:t>
      </w:r>
      <w:r w:rsidR="00B0590C">
        <w:t>, es decir,</w:t>
      </w:r>
      <w:r>
        <w:t xml:space="preserve"> permitirá explicar por qué los hogares se están comportando de la manera descrita. Sin embargo, también es necesario conocer cómo estas decisiones de ahorro influyen en la economía española</w:t>
      </w:r>
      <w:r w:rsidR="00B0590C">
        <w:t xml:space="preserve">, </w:t>
      </w:r>
      <w:r w:rsidR="00DA2249">
        <w:t>para lo cual se contestará a la segunda pregunta</w:t>
      </w:r>
      <w:r>
        <w:t xml:space="preserve"> </w:t>
      </w:r>
      <w:r w:rsidR="00DA2249">
        <w:t>con</w:t>
      </w:r>
      <w:r>
        <w:t xml:space="preserve"> el objetivo de analizar la incidencia de la tasa de ahorro familiar sobre diversos aspectos de la economía general, estudiando las magnitudes que directamente se ven afectadas y cómo se ven afectadas.</w:t>
      </w:r>
    </w:p>
    <w:p w:rsidR="00FB35B9" w:rsidRDefault="00FB35B9" w:rsidP="00FB35B9">
      <w:pPr>
        <w:jc w:val="both"/>
      </w:pPr>
    </w:p>
    <w:p w:rsidR="00FB35B9" w:rsidRDefault="00FB35B9" w:rsidP="00FB35B9">
      <w:pPr>
        <w:jc w:val="both"/>
      </w:pPr>
      <w:r>
        <w:t>Para</w:t>
      </w:r>
      <w:r w:rsidR="00DA2249">
        <w:t xml:space="preserve"> poder afrontar los objetivos del trabajo</w:t>
      </w:r>
      <w:r>
        <w:t>, se han utilizado datos referentes a los dos años de crisis económica, pero también a los años anteriores de crecimiento, para así poder hacer una evaluación global. En general, se ha utilizado la serie temporal 2000-2009.</w:t>
      </w:r>
    </w:p>
    <w:p w:rsidR="008136AB" w:rsidRDefault="008136AB"/>
    <w:p w:rsidR="00FB35B9" w:rsidRDefault="00FB35B9" w:rsidP="00FB35B9">
      <w:pPr>
        <w:tabs>
          <w:tab w:val="left" w:pos="3795"/>
        </w:tabs>
        <w:jc w:val="both"/>
      </w:pPr>
    </w:p>
    <w:p w:rsidR="007F2D75" w:rsidRDefault="007F2D75" w:rsidP="00FB35B9">
      <w:pPr>
        <w:tabs>
          <w:tab w:val="left" w:pos="3795"/>
        </w:tabs>
        <w:jc w:val="both"/>
      </w:pPr>
    </w:p>
    <w:p w:rsidR="007F2D75" w:rsidRDefault="007F2D75" w:rsidP="00FB35B9">
      <w:pPr>
        <w:tabs>
          <w:tab w:val="left" w:pos="3795"/>
        </w:tabs>
        <w:jc w:val="both"/>
      </w:pPr>
    </w:p>
    <w:p w:rsidR="007F2D75" w:rsidRDefault="007F2D75" w:rsidP="00FB35B9">
      <w:pPr>
        <w:tabs>
          <w:tab w:val="left" w:pos="3795"/>
        </w:tabs>
        <w:jc w:val="both"/>
      </w:pPr>
    </w:p>
    <w:p w:rsidR="008136AB" w:rsidRDefault="008136AB"/>
    <w:p w:rsidR="008136AB" w:rsidRDefault="008136AB"/>
    <w:p w:rsidR="008136AB" w:rsidRPr="00016950" w:rsidRDefault="008136AB" w:rsidP="00331C39">
      <w:pPr>
        <w:pStyle w:val="Ttulo1"/>
        <w:numPr>
          <w:ilvl w:val="0"/>
          <w:numId w:val="18"/>
        </w:numPr>
      </w:pPr>
      <w:bookmarkStart w:id="4" w:name="_Toc291939256"/>
      <w:r w:rsidRPr="00016950">
        <w:lastRenderedPageBreak/>
        <w:t>CAUSAS DE LA EVOLUCIÓN DE LA TASA DE AHORRO DE LOS HOGARES</w:t>
      </w:r>
      <w:bookmarkEnd w:id="4"/>
    </w:p>
    <w:p w:rsidR="008136AB" w:rsidRDefault="008136AB"/>
    <w:p w:rsidR="001C2297" w:rsidRDefault="00E770D3" w:rsidP="001C2297">
      <w:pPr>
        <w:jc w:val="both"/>
      </w:pPr>
      <w:r>
        <w:t xml:space="preserve">A la hora de analizar la evolución de la tasa de ahorro de los hogares, el primer paso a dar es conocer qué componentes determinan esta magnitud, para así poder estudiar si el cambio procede de un componente u otro, y así posteriormente desglosar las causas del cambio. </w:t>
      </w:r>
      <w:r w:rsidR="001C2297">
        <w:t>De una manera formal, la tasa de ahorro se expresa a través de la siguiente expresión:</w:t>
      </w:r>
    </w:p>
    <w:p w:rsidR="001C2297" w:rsidRDefault="001C2297" w:rsidP="001C2297">
      <w:pPr>
        <w:jc w:val="both"/>
      </w:pPr>
    </w:p>
    <w:p w:rsidR="001C2297" w:rsidRPr="001C032C" w:rsidRDefault="008F4E67" w:rsidP="001C2297">
      <w:pPr>
        <w:jc w:val="center"/>
      </w:pPr>
      <w:r w:rsidRPr="000B3696">
        <w:rPr>
          <w:position w:val="-30"/>
        </w:rPr>
        <w:object w:dxaOrig="4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75pt" o:ole="">
            <v:imagedata r:id="rId11" o:title=""/>
          </v:shape>
          <o:OLEObject Type="Embed" ProgID="Equation.3" ShapeID="_x0000_i1025" DrawAspect="Content" ObjectID="_1367993809" r:id="rId12"/>
        </w:object>
      </w:r>
    </w:p>
    <w:p w:rsidR="001C2297" w:rsidRDefault="001C2297" w:rsidP="001C2297"/>
    <w:p w:rsidR="001C2297" w:rsidRDefault="001C2297" w:rsidP="00E770D3">
      <w:pPr>
        <w:jc w:val="both"/>
      </w:pPr>
    </w:p>
    <w:p w:rsidR="00E770D3" w:rsidRDefault="00E770D3" w:rsidP="00E770D3">
      <w:pPr>
        <w:jc w:val="both"/>
      </w:pPr>
      <w:r>
        <w:t>La tabla 1 permite apreciar cómo se ha comportado el ahorro bruto de las familias y su renta disponible bruta</w:t>
      </w:r>
      <w:r w:rsidR="0063396C">
        <w:t>.</w:t>
      </w:r>
    </w:p>
    <w:p w:rsidR="00E770D3" w:rsidRDefault="00E770D3" w:rsidP="00E770D3">
      <w:pPr>
        <w:jc w:val="both"/>
      </w:pPr>
    </w:p>
    <w:p w:rsidR="00E770D3" w:rsidRDefault="00E770D3" w:rsidP="00E770D3">
      <w:pPr>
        <w:jc w:val="both"/>
      </w:pPr>
    </w:p>
    <w:p w:rsidR="001C2297" w:rsidRDefault="001C2297" w:rsidP="00E770D3">
      <w:pPr>
        <w:jc w:val="center"/>
        <w:rPr>
          <w:b/>
        </w:rPr>
      </w:pPr>
      <w:r w:rsidRPr="00F74DCE">
        <w:rPr>
          <w:b/>
        </w:rPr>
        <w:t xml:space="preserve">Tabla </w:t>
      </w:r>
      <w:r>
        <w:rPr>
          <w:b/>
        </w:rPr>
        <w:t>1</w:t>
      </w:r>
      <w:r w:rsidRPr="00F74DCE">
        <w:rPr>
          <w:b/>
        </w:rPr>
        <w:t xml:space="preserve">. Evolución del Ahorro Bruto, Renta Disponible </w:t>
      </w:r>
      <w:r w:rsidR="00E770D3" w:rsidRPr="00F74DCE">
        <w:rPr>
          <w:b/>
        </w:rPr>
        <w:t xml:space="preserve">Bruta </w:t>
      </w:r>
      <w:r w:rsidRPr="00F74DCE">
        <w:rPr>
          <w:b/>
        </w:rPr>
        <w:t>y</w:t>
      </w:r>
    </w:p>
    <w:p w:rsidR="001C2297" w:rsidRPr="00F74DCE" w:rsidRDefault="001C2297" w:rsidP="001C2297">
      <w:pPr>
        <w:jc w:val="center"/>
        <w:rPr>
          <w:b/>
        </w:rPr>
      </w:pPr>
      <w:r w:rsidRPr="00F74DCE">
        <w:rPr>
          <w:b/>
        </w:rPr>
        <w:t xml:space="preserve">Tasa de Ahorro de los hogares </w:t>
      </w:r>
    </w:p>
    <w:tbl>
      <w:tblPr>
        <w:tblW w:w="5199" w:type="pct"/>
        <w:jc w:val="center"/>
        <w:tblCellMar>
          <w:left w:w="70" w:type="dxa"/>
          <w:right w:w="70" w:type="dxa"/>
        </w:tblCellMar>
        <w:tblLook w:val="0000" w:firstRow="0" w:lastRow="0" w:firstColumn="0" w:lastColumn="0" w:noHBand="0" w:noVBand="0"/>
      </w:tblPr>
      <w:tblGrid>
        <w:gridCol w:w="1910"/>
        <w:gridCol w:w="719"/>
        <w:gridCol w:w="719"/>
        <w:gridCol w:w="719"/>
        <w:gridCol w:w="719"/>
        <w:gridCol w:w="719"/>
        <w:gridCol w:w="719"/>
        <w:gridCol w:w="719"/>
        <w:gridCol w:w="719"/>
        <w:gridCol w:w="719"/>
        <w:gridCol w:w="719"/>
      </w:tblGrid>
      <w:tr w:rsidR="001C2297" w:rsidRPr="003C615C" w:rsidTr="00D30D74">
        <w:trPr>
          <w:trHeight w:val="270"/>
          <w:jc w:val="center"/>
        </w:trPr>
        <w:tc>
          <w:tcPr>
            <w:tcW w:w="200" w:type="pct"/>
            <w:tcBorders>
              <w:top w:val="single" w:sz="8" w:space="0" w:color="auto"/>
              <w:left w:val="single" w:sz="8" w:space="0" w:color="auto"/>
              <w:bottom w:val="single" w:sz="8" w:space="0" w:color="auto"/>
              <w:right w:val="single" w:sz="4" w:space="0" w:color="auto"/>
            </w:tcBorders>
            <w:shd w:val="clear" w:color="auto" w:fill="CCFFCC"/>
            <w:noWrap/>
            <w:vAlign w:val="center"/>
          </w:tcPr>
          <w:p w:rsidR="001C2297" w:rsidRPr="003C615C" w:rsidRDefault="001C2297" w:rsidP="00D30D74">
            <w:pPr>
              <w:jc w:val="center"/>
              <w:rPr>
                <w:rFonts w:cs="Arial"/>
                <w:sz w:val="16"/>
                <w:szCs w:val="16"/>
              </w:rPr>
            </w:pPr>
          </w:p>
        </w:tc>
        <w:tc>
          <w:tcPr>
            <w:tcW w:w="480" w:type="pct"/>
            <w:tcBorders>
              <w:top w:val="single" w:sz="8" w:space="0" w:color="auto"/>
              <w:left w:val="nil"/>
              <w:bottom w:val="single" w:sz="8" w:space="0" w:color="auto"/>
              <w:right w:val="single" w:sz="4"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2000</w:t>
            </w:r>
          </w:p>
        </w:tc>
        <w:tc>
          <w:tcPr>
            <w:tcW w:w="480" w:type="pct"/>
            <w:tcBorders>
              <w:top w:val="single" w:sz="8" w:space="0" w:color="auto"/>
              <w:left w:val="nil"/>
              <w:bottom w:val="single" w:sz="8" w:space="0" w:color="auto"/>
              <w:right w:val="single" w:sz="4"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2001</w:t>
            </w:r>
          </w:p>
        </w:tc>
        <w:tc>
          <w:tcPr>
            <w:tcW w:w="480" w:type="pct"/>
            <w:tcBorders>
              <w:top w:val="single" w:sz="8" w:space="0" w:color="auto"/>
              <w:left w:val="nil"/>
              <w:bottom w:val="single" w:sz="8" w:space="0" w:color="auto"/>
              <w:right w:val="single" w:sz="4"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2002</w:t>
            </w:r>
          </w:p>
        </w:tc>
        <w:tc>
          <w:tcPr>
            <w:tcW w:w="480" w:type="pct"/>
            <w:tcBorders>
              <w:top w:val="single" w:sz="8" w:space="0" w:color="auto"/>
              <w:left w:val="nil"/>
              <w:bottom w:val="single" w:sz="8" w:space="0" w:color="auto"/>
              <w:right w:val="single" w:sz="4"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2003</w:t>
            </w:r>
          </w:p>
        </w:tc>
        <w:tc>
          <w:tcPr>
            <w:tcW w:w="480" w:type="pct"/>
            <w:tcBorders>
              <w:top w:val="single" w:sz="8" w:space="0" w:color="auto"/>
              <w:left w:val="nil"/>
              <w:bottom w:val="single" w:sz="8" w:space="0" w:color="auto"/>
              <w:right w:val="single" w:sz="4"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2004</w:t>
            </w:r>
          </w:p>
        </w:tc>
        <w:tc>
          <w:tcPr>
            <w:tcW w:w="480" w:type="pct"/>
            <w:tcBorders>
              <w:top w:val="single" w:sz="8" w:space="0" w:color="auto"/>
              <w:left w:val="nil"/>
              <w:bottom w:val="single" w:sz="8" w:space="0" w:color="auto"/>
              <w:right w:val="single" w:sz="4"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2005</w:t>
            </w:r>
          </w:p>
        </w:tc>
        <w:tc>
          <w:tcPr>
            <w:tcW w:w="480" w:type="pct"/>
            <w:tcBorders>
              <w:top w:val="single" w:sz="8" w:space="0" w:color="auto"/>
              <w:left w:val="nil"/>
              <w:bottom w:val="single" w:sz="8" w:space="0" w:color="auto"/>
              <w:right w:val="single" w:sz="4"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2006</w:t>
            </w:r>
          </w:p>
        </w:tc>
        <w:tc>
          <w:tcPr>
            <w:tcW w:w="480" w:type="pct"/>
            <w:tcBorders>
              <w:top w:val="single" w:sz="8" w:space="0" w:color="auto"/>
              <w:left w:val="nil"/>
              <w:bottom w:val="single" w:sz="8" w:space="0" w:color="auto"/>
              <w:right w:val="single" w:sz="4"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2007</w:t>
            </w:r>
          </w:p>
        </w:tc>
        <w:tc>
          <w:tcPr>
            <w:tcW w:w="480" w:type="pct"/>
            <w:tcBorders>
              <w:top w:val="single" w:sz="8" w:space="0" w:color="auto"/>
              <w:left w:val="nil"/>
              <w:bottom w:val="single" w:sz="8" w:space="0" w:color="auto"/>
              <w:right w:val="single" w:sz="4"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2008</w:t>
            </w:r>
          </w:p>
        </w:tc>
        <w:tc>
          <w:tcPr>
            <w:tcW w:w="479" w:type="pct"/>
            <w:tcBorders>
              <w:top w:val="single" w:sz="8" w:space="0" w:color="auto"/>
              <w:left w:val="nil"/>
              <w:bottom w:val="single" w:sz="8" w:space="0" w:color="auto"/>
              <w:right w:val="single" w:sz="8"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2009</w:t>
            </w:r>
          </w:p>
        </w:tc>
      </w:tr>
      <w:tr w:rsidR="001C2297" w:rsidRPr="003C615C" w:rsidTr="00D30D74">
        <w:trPr>
          <w:trHeight w:val="255"/>
          <w:jc w:val="center"/>
        </w:trPr>
        <w:tc>
          <w:tcPr>
            <w:tcW w:w="200" w:type="pct"/>
            <w:tcBorders>
              <w:top w:val="nil"/>
              <w:left w:val="single" w:sz="8" w:space="0" w:color="auto"/>
              <w:bottom w:val="single" w:sz="4" w:space="0" w:color="auto"/>
              <w:right w:val="single" w:sz="8"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Ahorro Bruto</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47.143</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50.150</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54.455</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61.401</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61.945</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67.043</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70.851</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71.995</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92.346</w:t>
            </w:r>
          </w:p>
        </w:tc>
        <w:tc>
          <w:tcPr>
            <w:tcW w:w="479" w:type="pct"/>
            <w:tcBorders>
              <w:top w:val="nil"/>
              <w:left w:val="nil"/>
              <w:bottom w:val="single" w:sz="4" w:space="0" w:color="auto"/>
              <w:right w:val="single" w:sz="8"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135.925</w:t>
            </w:r>
          </w:p>
        </w:tc>
      </w:tr>
      <w:tr w:rsidR="001C2297" w:rsidRPr="003C615C" w:rsidTr="00D30D74">
        <w:trPr>
          <w:trHeight w:val="255"/>
          <w:jc w:val="center"/>
        </w:trPr>
        <w:tc>
          <w:tcPr>
            <w:tcW w:w="200" w:type="pct"/>
            <w:tcBorders>
              <w:top w:val="nil"/>
              <w:left w:val="single" w:sz="8" w:space="0" w:color="auto"/>
              <w:bottom w:val="single" w:sz="4" w:space="0" w:color="auto"/>
              <w:right w:val="single" w:sz="8" w:space="0" w:color="auto"/>
            </w:tcBorders>
            <w:shd w:val="clear" w:color="auto" w:fill="CCFFCC"/>
            <w:noWrap/>
            <w:vAlign w:val="center"/>
          </w:tcPr>
          <w:p w:rsidR="001C2297" w:rsidRPr="003C615C" w:rsidRDefault="001C2297" w:rsidP="00151483">
            <w:pPr>
              <w:jc w:val="center"/>
              <w:rPr>
                <w:rFonts w:cs="Arial"/>
                <w:b/>
                <w:bCs/>
                <w:sz w:val="16"/>
                <w:szCs w:val="16"/>
              </w:rPr>
            </w:pPr>
            <w:r w:rsidRPr="003C615C">
              <w:rPr>
                <w:rFonts w:cs="Arial"/>
                <w:b/>
                <w:bCs/>
                <w:sz w:val="16"/>
                <w:szCs w:val="16"/>
              </w:rPr>
              <w:t>Renta Disponible</w:t>
            </w:r>
            <w:r w:rsidR="00151483">
              <w:rPr>
                <w:rFonts w:cs="Arial"/>
                <w:b/>
                <w:bCs/>
                <w:sz w:val="16"/>
                <w:szCs w:val="16"/>
              </w:rPr>
              <w:t xml:space="preserve"> </w:t>
            </w:r>
            <w:r w:rsidR="00151483" w:rsidRPr="003C615C">
              <w:rPr>
                <w:rFonts w:cs="Arial"/>
                <w:b/>
                <w:bCs/>
                <w:sz w:val="16"/>
                <w:szCs w:val="16"/>
              </w:rPr>
              <w:t>Bruta</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421.697</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450.396</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478.867</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511.080</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547.895</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591.867</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634.555</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674.734</w:t>
            </w:r>
          </w:p>
        </w:tc>
        <w:tc>
          <w:tcPr>
            <w:tcW w:w="480" w:type="pct"/>
            <w:tcBorders>
              <w:top w:val="nil"/>
              <w:left w:val="nil"/>
              <w:bottom w:val="single" w:sz="4"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715.310</w:t>
            </w:r>
          </w:p>
        </w:tc>
        <w:tc>
          <w:tcPr>
            <w:tcW w:w="479" w:type="pct"/>
            <w:tcBorders>
              <w:top w:val="nil"/>
              <w:left w:val="nil"/>
              <w:bottom w:val="single" w:sz="4" w:space="0" w:color="auto"/>
              <w:right w:val="single" w:sz="8"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723.172</w:t>
            </w:r>
          </w:p>
        </w:tc>
      </w:tr>
      <w:tr w:rsidR="001C2297" w:rsidRPr="003C615C" w:rsidTr="00D30D74">
        <w:trPr>
          <w:trHeight w:val="270"/>
          <w:jc w:val="center"/>
        </w:trPr>
        <w:tc>
          <w:tcPr>
            <w:tcW w:w="200" w:type="pct"/>
            <w:tcBorders>
              <w:top w:val="nil"/>
              <w:left w:val="single" w:sz="8" w:space="0" w:color="auto"/>
              <w:bottom w:val="single" w:sz="8" w:space="0" w:color="auto"/>
              <w:right w:val="single" w:sz="8" w:space="0" w:color="auto"/>
            </w:tcBorders>
            <w:shd w:val="clear" w:color="auto" w:fill="CCFFCC"/>
            <w:noWrap/>
            <w:vAlign w:val="center"/>
          </w:tcPr>
          <w:p w:rsidR="001C2297" w:rsidRPr="003C615C" w:rsidRDefault="001C2297" w:rsidP="00D30D74">
            <w:pPr>
              <w:jc w:val="center"/>
              <w:rPr>
                <w:rFonts w:cs="Arial"/>
                <w:b/>
                <w:bCs/>
                <w:sz w:val="16"/>
                <w:szCs w:val="16"/>
              </w:rPr>
            </w:pPr>
            <w:r w:rsidRPr="003C615C">
              <w:rPr>
                <w:rFonts w:cs="Arial"/>
                <w:b/>
                <w:bCs/>
                <w:sz w:val="16"/>
                <w:szCs w:val="16"/>
              </w:rPr>
              <w:t>Tasa Ahorro</w:t>
            </w:r>
          </w:p>
        </w:tc>
        <w:tc>
          <w:tcPr>
            <w:tcW w:w="480" w:type="pct"/>
            <w:tcBorders>
              <w:top w:val="nil"/>
              <w:left w:val="nil"/>
              <w:bottom w:val="single" w:sz="8"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11,18%</w:t>
            </w:r>
          </w:p>
        </w:tc>
        <w:tc>
          <w:tcPr>
            <w:tcW w:w="480" w:type="pct"/>
            <w:tcBorders>
              <w:top w:val="nil"/>
              <w:left w:val="nil"/>
              <w:bottom w:val="single" w:sz="8"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11,89%</w:t>
            </w:r>
          </w:p>
        </w:tc>
        <w:tc>
          <w:tcPr>
            <w:tcW w:w="480" w:type="pct"/>
            <w:tcBorders>
              <w:top w:val="nil"/>
              <w:left w:val="nil"/>
              <w:bottom w:val="single" w:sz="8"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11,37%</w:t>
            </w:r>
          </w:p>
        </w:tc>
        <w:tc>
          <w:tcPr>
            <w:tcW w:w="480" w:type="pct"/>
            <w:tcBorders>
              <w:top w:val="nil"/>
              <w:left w:val="nil"/>
              <w:bottom w:val="single" w:sz="8"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12,01%</w:t>
            </w:r>
          </w:p>
        </w:tc>
        <w:tc>
          <w:tcPr>
            <w:tcW w:w="480" w:type="pct"/>
            <w:tcBorders>
              <w:top w:val="nil"/>
              <w:left w:val="nil"/>
              <w:bottom w:val="single" w:sz="8"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11,31%</w:t>
            </w:r>
          </w:p>
        </w:tc>
        <w:tc>
          <w:tcPr>
            <w:tcW w:w="480" w:type="pct"/>
            <w:tcBorders>
              <w:top w:val="nil"/>
              <w:left w:val="nil"/>
              <w:bottom w:val="single" w:sz="8"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11,33%</w:t>
            </w:r>
          </w:p>
        </w:tc>
        <w:tc>
          <w:tcPr>
            <w:tcW w:w="480" w:type="pct"/>
            <w:tcBorders>
              <w:top w:val="nil"/>
              <w:left w:val="nil"/>
              <w:bottom w:val="single" w:sz="8"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11,17%</w:t>
            </w:r>
          </w:p>
        </w:tc>
        <w:tc>
          <w:tcPr>
            <w:tcW w:w="480" w:type="pct"/>
            <w:tcBorders>
              <w:top w:val="nil"/>
              <w:left w:val="nil"/>
              <w:bottom w:val="single" w:sz="8"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10,67%</w:t>
            </w:r>
          </w:p>
        </w:tc>
        <w:tc>
          <w:tcPr>
            <w:tcW w:w="480" w:type="pct"/>
            <w:tcBorders>
              <w:top w:val="nil"/>
              <w:left w:val="nil"/>
              <w:bottom w:val="single" w:sz="8" w:space="0" w:color="auto"/>
              <w:right w:val="single" w:sz="4"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12,91%</w:t>
            </w:r>
          </w:p>
        </w:tc>
        <w:tc>
          <w:tcPr>
            <w:tcW w:w="479" w:type="pct"/>
            <w:tcBorders>
              <w:top w:val="nil"/>
              <w:left w:val="nil"/>
              <w:bottom w:val="single" w:sz="8" w:space="0" w:color="auto"/>
              <w:right w:val="single" w:sz="8" w:space="0" w:color="auto"/>
            </w:tcBorders>
            <w:shd w:val="clear" w:color="auto" w:fill="auto"/>
            <w:noWrap/>
            <w:vAlign w:val="center"/>
          </w:tcPr>
          <w:p w:rsidR="001C2297" w:rsidRPr="003C615C" w:rsidRDefault="001C2297" w:rsidP="00D30D74">
            <w:pPr>
              <w:jc w:val="center"/>
              <w:rPr>
                <w:rFonts w:cs="Arial"/>
                <w:sz w:val="16"/>
                <w:szCs w:val="16"/>
              </w:rPr>
            </w:pPr>
            <w:r w:rsidRPr="003C615C">
              <w:rPr>
                <w:rFonts w:cs="Arial"/>
                <w:sz w:val="16"/>
                <w:szCs w:val="16"/>
              </w:rPr>
              <w:t>18,80%</w:t>
            </w:r>
          </w:p>
        </w:tc>
      </w:tr>
    </w:tbl>
    <w:p w:rsidR="001C2297" w:rsidRPr="00E770D3" w:rsidRDefault="001C2297" w:rsidP="001C2297">
      <w:pPr>
        <w:jc w:val="center"/>
        <w:rPr>
          <w:b/>
          <w:sz w:val="20"/>
          <w:szCs w:val="22"/>
        </w:rPr>
      </w:pPr>
      <w:r w:rsidRPr="00E770D3">
        <w:rPr>
          <w:b/>
          <w:sz w:val="20"/>
          <w:szCs w:val="22"/>
        </w:rPr>
        <w:t>Fuente: INE y elaboración propia</w:t>
      </w:r>
    </w:p>
    <w:p w:rsidR="001C2297" w:rsidRDefault="001C2297" w:rsidP="001C2297">
      <w:pPr>
        <w:jc w:val="both"/>
      </w:pPr>
    </w:p>
    <w:p w:rsidR="001C2297" w:rsidRDefault="001C2297" w:rsidP="0063396C">
      <w:pPr>
        <w:jc w:val="both"/>
      </w:pPr>
      <w:r>
        <w:t xml:space="preserve">Se </w:t>
      </w:r>
      <w:r w:rsidR="0063396C">
        <w:t>aprecia en dicha tabla 1</w:t>
      </w:r>
      <w:r>
        <w:t xml:space="preserve"> un aumento tanto del ahorro bruto como de la renta disponible</w:t>
      </w:r>
      <w:r w:rsidR="009B430F">
        <w:t xml:space="preserve"> bruta</w:t>
      </w:r>
      <w:r>
        <w:t xml:space="preserve">, por lo que el crecimiento de la tasa de ahorro de los hogares viene determinado a priori por las dos magnitudes. Sin embargo, hay que realizar un análisis más detallado de estas tendencias, para poder conocer cuál de las dos variables ha sido más influyente y en qué medida. Para cumplir este objetivo, se han </w:t>
      </w:r>
      <w:r w:rsidR="0063396C">
        <w:t>calculado</w:t>
      </w:r>
      <w:r>
        <w:t xml:space="preserve"> números índices, que permiten conocer los cambios de una variable económica en diferentes momentos del tiempo con respecto a un valor de esa misma variable en un momento de tiempo tomado como referencia. Tomando como año base en 2000 (por tanto, con valor 100), se ha obtenido la siguiente comparación para el ahorro bruto familiar y la renta bruta disponible:</w:t>
      </w:r>
    </w:p>
    <w:p w:rsidR="001C2297" w:rsidRDefault="001C2297" w:rsidP="001C2297"/>
    <w:p w:rsidR="001C2297" w:rsidRDefault="001C2297" w:rsidP="001C2297"/>
    <w:p w:rsidR="001C2297" w:rsidRDefault="001C2297" w:rsidP="001C2297">
      <w:pPr>
        <w:jc w:val="center"/>
        <w:rPr>
          <w:b/>
        </w:rPr>
      </w:pPr>
      <w:r w:rsidRPr="00666F41">
        <w:rPr>
          <w:b/>
        </w:rPr>
        <w:t xml:space="preserve">Gráfico </w:t>
      </w:r>
      <w:r w:rsidR="00E453E6">
        <w:rPr>
          <w:b/>
        </w:rPr>
        <w:t>3</w:t>
      </w:r>
      <w:r w:rsidRPr="00666F41">
        <w:rPr>
          <w:b/>
        </w:rPr>
        <w:t>.</w:t>
      </w:r>
      <w:r w:rsidR="0063396C">
        <w:rPr>
          <w:b/>
        </w:rPr>
        <w:t xml:space="preserve"> Variación anual del ahorro bruto y la renta disponible bruta de los hogares (2000=100)</w:t>
      </w:r>
    </w:p>
    <w:p w:rsidR="001C2297" w:rsidRPr="00025DAE" w:rsidRDefault="00AB7DB6" w:rsidP="001C2297">
      <w:r>
        <w:rPr>
          <w:noProof/>
          <w:lang w:val="es-ES_tradnl" w:eastAsia="es-ES_tradnl"/>
        </w:rPr>
        <w:drawing>
          <wp:inline distT="0" distB="0" distL="0" distR="0" wp14:anchorId="58EBFC56" wp14:editId="703C4E79">
            <wp:extent cx="5181600" cy="14478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3">
                      <a:extLst>
                        <a:ext uri="{28A0092B-C50C-407E-A947-70E740481C1C}">
                          <a14:useLocalDpi xmlns:a14="http://schemas.microsoft.com/office/drawing/2010/main" val="0"/>
                        </a:ext>
                      </a:extLst>
                    </a:blip>
                    <a:srcRect l="1767" t="32084" r="2109" b="4584"/>
                    <a:stretch/>
                  </pic:blipFill>
                  <pic:spPr bwMode="auto">
                    <a:xfrm>
                      <a:off x="0" y="0"/>
                      <a:ext cx="518160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1C2297" w:rsidRPr="0063396C" w:rsidRDefault="001C2297" w:rsidP="001C2297">
      <w:pPr>
        <w:jc w:val="center"/>
        <w:rPr>
          <w:b/>
          <w:sz w:val="20"/>
          <w:szCs w:val="22"/>
        </w:rPr>
      </w:pPr>
      <w:r w:rsidRPr="0063396C">
        <w:rPr>
          <w:b/>
          <w:sz w:val="20"/>
          <w:szCs w:val="22"/>
        </w:rPr>
        <w:t>Fuente: Elaboración propia. Datos de Contabilidad Nacional de España (INE)</w:t>
      </w:r>
    </w:p>
    <w:p w:rsidR="001C2297" w:rsidRDefault="001C2297" w:rsidP="001C2297"/>
    <w:p w:rsidR="0063396C" w:rsidRDefault="0063396C" w:rsidP="001C2297">
      <w:pPr>
        <w:jc w:val="both"/>
      </w:pPr>
    </w:p>
    <w:p w:rsidR="0063396C" w:rsidRDefault="0063396C" w:rsidP="001C2297">
      <w:pPr>
        <w:jc w:val="both"/>
      </w:pPr>
    </w:p>
    <w:p w:rsidR="001C2297" w:rsidRDefault="001C2297" w:rsidP="001C2297">
      <w:pPr>
        <w:jc w:val="both"/>
      </w:pPr>
      <w:r>
        <w:lastRenderedPageBreak/>
        <w:t>A través del análisis con números índice se observa que hasta 2007 la evolución ha sido creciente y a la par por parte de ambas magnitudes. Sin embargo, se puede aprecia</w:t>
      </w:r>
      <w:r w:rsidR="00F17F83">
        <w:t>r</w:t>
      </w:r>
      <w:r>
        <w:t xml:space="preserve"> que a partir de 2007 el ahorro bruto </w:t>
      </w:r>
      <w:r w:rsidR="00F17F83">
        <w:t>se incrementa de forma importante</w:t>
      </w:r>
      <w:r>
        <w:t xml:space="preserve"> mientras que la renta bruta disponible</w:t>
      </w:r>
      <w:r w:rsidR="00F17F83">
        <w:t xml:space="preserve"> sólo</w:t>
      </w:r>
      <w:r>
        <w:t xml:space="preserve"> crece ligeramente. Por tanto, el crecimiento de la tasa de ahorro se debe a un cambio en las decisiones de las familias, que ante las adversidades económicas derivadas de la crisis, han tomado la decisión de</w:t>
      </w:r>
      <w:r w:rsidR="00F17F83">
        <w:t xml:space="preserve"> ahorrar más y consumir menos, señalando a su vez que el ligero incremento de la renta disponible bruta ha evitado un mayor valor de la tasa de ahorro de los hogares durante estos últimos años.</w:t>
      </w:r>
    </w:p>
    <w:p w:rsidR="00F17F83" w:rsidRDefault="00F17F83" w:rsidP="001C2297">
      <w:pPr>
        <w:jc w:val="both"/>
      </w:pPr>
    </w:p>
    <w:p w:rsidR="00F17F83" w:rsidRDefault="00F17F83" w:rsidP="001C2297">
      <w:pPr>
        <w:jc w:val="both"/>
      </w:pPr>
      <w:r>
        <w:t xml:space="preserve">En base a las afirmaciones anteriores, se antoja necesario conocer que factores han llevado a las familias españolas a incrementar su volumen de ahorro para afrontar la situación de crisis. </w:t>
      </w:r>
      <w:r w:rsidR="00D94881">
        <w:t xml:space="preserve">Estos factores ya han sido señalados por la literatura como determinantes del ahorro, como muestra el trabajo de Argandoña (2004). El objetivo del apartado siguiente es ver cómo estos determinantes han afectado a las decisiones de las familias </w:t>
      </w:r>
      <w:r w:rsidR="007C2F70">
        <w:t xml:space="preserve">españolas </w:t>
      </w:r>
      <w:r w:rsidR="005F78A9">
        <w:t>durante</w:t>
      </w:r>
      <w:r w:rsidR="00D94881">
        <w:t xml:space="preserve"> la actual crisis </w:t>
      </w:r>
      <w:r w:rsidR="007C2F70">
        <w:t>económica.</w:t>
      </w:r>
    </w:p>
    <w:p w:rsidR="004C781B" w:rsidRDefault="004C781B"/>
    <w:p w:rsidR="008136AB" w:rsidRDefault="008136AB" w:rsidP="00331C39">
      <w:pPr>
        <w:pStyle w:val="Ttulo2"/>
        <w:numPr>
          <w:ilvl w:val="1"/>
          <w:numId w:val="18"/>
        </w:numPr>
      </w:pPr>
      <w:bookmarkStart w:id="5" w:name="_Toc291939257"/>
      <w:r w:rsidRPr="00F27E15">
        <w:t>LA EVOLUCIÓN DEL AHORRO BRUTO DE LOS HOGARES</w:t>
      </w:r>
      <w:bookmarkEnd w:id="5"/>
      <w:r w:rsidR="00331C39">
        <w:t xml:space="preserve"> </w:t>
      </w:r>
    </w:p>
    <w:p w:rsidR="00502D7C" w:rsidRDefault="00502D7C" w:rsidP="00331C39">
      <w:pPr>
        <w:pStyle w:val="Ttulo3"/>
        <w:numPr>
          <w:ilvl w:val="2"/>
          <w:numId w:val="18"/>
        </w:numPr>
      </w:pPr>
      <w:bookmarkStart w:id="6" w:name="_Toc291939258"/>
      <w:r w:rsidRPr="00AF0D9A">
        <w:t>La Confianza del consumidor</w:t>
      </w:r>
      <w:bookmarkEnd w:id="6"/>
    </w:p>
    <w:p w:rsidR="00331C39" w:rsidRPr="00331C39" w:rsidRDefault="00331C39" w:rsidP="00331C39">
      <w:pPr>
        <w:pStyle w:val="Prrafodelista"/>
        <w:ind w:left="720"/>
      </w:pPr>
    </w:p>
    <w:p w:rsidR="00502D7C" w:rsidRDefault="00502D7C" w:rsidP="00502D7C">
      <w:pPr>
        <w:jc w:val="both"/>
      </w:pPr>
    </w:p>
    <w:p w:rsidR="00502D7C" w:rsidRDefault="003D6681" w:rsidP="00A44566">
      <w:pPr>
        <w:jc w:val="both"/>
      </w:pPr>
      <w:r>
        <w:t>La confianza e</w:t>
      </w:r>
      <w:r w:rsidR="0023575E">
        <w:t>s</w:t>
      </w:r>
      <w:r>
        <w:t xml:space="preserve"> fundamental en las personas a la hora de tomar decisiones económicas.</w:t>
      </w:r>
      <w:r w:rsidR="00A44566">
        <w:t xml:space="preserve"> En la decisión a ahorrar este factor adquiere, si cabe, mayor importancia debido a la incertidumbre. </w:t>
      </w:r>
      <w:r w:rsidR="00502D7C">
        <w:t>El caso de España ha sido especialmente importante, pues en poco tiempo se ha pasado de un fuerte crecimiento económico y situación de bonan</w:t>
      </w:r>
      <w:r w:rsidR="002158EC">
        <w:t>za, a una situación de recesión y</w:t>
      </w:r>
      <w:r w:rsidR="00502D7C">
        <w:t xml:space="preserve"> desempleo sin precedentes en cuanto a su virulencia. </w:t>
      </w:r>
    </w:p>
    <w:p w:rsidR="00502D7C" w:rsidRDefault="00502D7C" w:rsidP="00502D7C">
      <w:pPr>
        <w:jc w:val="both"/>
      </w:pPr>
    </w:p>
    <w:p w:rsidR="00502D7C" w:rsidRDefault="000866AA" w:rsidP="00502D7C">
      <w:pPr>
        <w:jc w:val="both"/>
      </w:pPr>
      <w:r>
        <w:t>A la hora de cuantificar la confianza, se utilizan los denominados índices de Confianza del Consumidor, elaborados a través de cuestionarios. En este trabajo se han tomado como referencia dos</w:t>
      </w:r>
      <w:r w:rsidR="00502D7C">
        <w:t xml:space="preserve">, el elaborado por la Comisión Europea y el elaborado por </w:t>
      </w:r>
      <w:r>
        <w:t>Instituto de Crédito Oficial</w:t>
      </w:r>
      <w:r w:rsidR="00502D7C">
        <w:t xml:space="preserve">. </w:t>
      </w:r>
      <w:r>
        <w:t>En el gráfico 4</w:t>
      </w:r>
      <w:r w:rsidR="00502D7C">
        <w:t xml:space="preserve"> se puede observar  la evolución de amb</w:t>
      </w:r>
      <w:r>
        <w:t>a</w:t>
      </w:r>
      <w:r w:rsidR="00502D7C">
        <w:t>s</w:t>
      </w:r>
      <w:r>
        <w:t xml:space="preserve"> medidas</w:t>
      </w:r>
      <w:r w:rsidR="00502D7C">
        <w:t>,</w:t>
      </w:r>
      <w:r>
        <w:t xml:space="preserve"> </w:t>
      </w:r>
      <w:r w:rsidR="00502D7C">
        <w:t xml:space="preserve"> </w:t>
      </w:r>
      <w:r>
        <w:t>apreciándose una cuestión muy importante, y es que aunque cada índice conlleva una escala distinta de medida, la evoluci</w:t>
      </w:r>
      <w:r w:rsidR="006C6DDA">
        <w:t>ón es similar.</w:t>
      </w:r>
    </w:p>
    <w:p w:rsidR="00502D7C" w:rsidRDefault="00502D7C" w:rsidP="00502D7C">
      <w:pPr>
        <w:jc w:val="both"/>
      </w:pPr>
    </w:p>
    <w:p w:rsidR="00502D7C" w:rsidRPr="008C1A23" w:rsidRDefault="001419DC" w:rsidP="00502D7C">
      <w:pPr>
        <w:jc w:val="center"/>
        <w:rPr>
          <w:b/>
        </w:rPr>
      </w:pPr>
      <w:r w:rsidRPr="008C1A23">
        <w:rPr>
          <w:b/>
        </w:rPr>
        <w:t>Gráfico 4</w:t>
      </w:r>
      <w:r w:rsidR="00502D7C" w:rsidRPr="008C1A23">
        <w:rPr>
          <w:b/>
        </w:rPr>
        <w:t xml:space="preserve">. </w:t>
      </w:r>
      <w:r w:rsidRPr="008C1A23">
        <w:rPr>
          <w:b/>
        </w:rPr>
        <w:t>Índice de Confianza del Consumidor</w:t>
      </w:r>
    </w:p>
    <w:p w:rsidR="00502D7C" w:rsidRPr="00601755" w:rsidRDefault="009D691D" w:rsidP="00502D7C">
      <w:r>
        <w:rPr>
          <w:noProof/>
          <w:lang w:val="es-ES_tradnl" w:eastAsia="es-ES_tradnl"/>
        </w:rPr>
        <w:drawing>
          <wp:inline distT="0" distB="0" distL="0" distR="0" wp14:anchorId="549B72FD" wp14:editId="6A9737A3">
            <wp:extent cx="5210175" cy="2057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a:extLst>
                        <a:ext uri="{28A0092B-C50C-407E-A947-70E740481C1C}">
                          <a14:useLocalDpi xmlns:a14="http://schemas.microsoft.com/office/drawing/2010/main" val="0"/>
                        </a:ext>
                      </a:extLst>
                    </a:blip>
                    <a:srcRect l="2778" t="7819" r="2257" b="3292"/>
                    <a:stretch/>
                  </pic:blipFill>
                  <pic:spPr bwMode="auto">
                    <a:xfrm>
                      <a:off x="0" y="0"/>
                      <a:ext cx="5217264" cy="2060199"/>
                    </a:xfrm>
                    <a:prstGeom prst="rect">
                      <a:avLst/>
                    </a:prstGeom>
                    <a:noFill/>
                    <a:ln>
                      <a:noFill/>
                    </a:ln>
                    <a:extLst>
                      <a:ext uri="{53640926-AAD7-44D8-BBD7-CCE9431645EC}">
                        <a14:shadowObscured xmlns:a14="http://schemas.microsoft.com/office/drawing/2010/main"/>
                      </a:ext>
                    </a:extLst>
                  </pic:spPr>
                </pic:pic>
              </a:graphicData>
            </a:graphic>
          </wp:inline>
        </w:drawing>
      </w:r>
    </w:p>
    <w:p w:rsidR="00502D7C" w:rsidRPr="001419DC" w:rsidRDefault="00502D7C" w:rsidP="001419DC">
      <w:pPr>
        <w:jc w:val="center"/>
        <w:rPr>
          <w:b/>
          <w:sz w:val="20"/>
        </w:rPr>
      </w:pPr>
      <w:r w:rsidRPr="001419DC">
        <w:rPr>
          <w:b/>
          <w:sz w:val="20"/>
          <w:szCs w:val="22"/>
        </w:rPr>
        <w:t>Fuente: Elaboración propia. Datos de ICO y Comisión Europea</w:t>
      </w:r>
    </w:p>
    <w:p w:rsidR="008136AB" w:rsidRPr="00F27E15" w:rsidRDefault="008136AB" w:rsidP="00F27E15">
      <w:pPr>
        <w:ind w:left="708"/>
        <w:rPr>
          <w:b/>
        </w:rPr>
      </w:pPr>
    </w:p>
    <w:p w:rsidR="008136AB" w:rsidRDefault="008136AB" w:rsidP="00F27E15">
      <w:pPr>
        <w:ind w:left="708"/>
        <w:rPr>
          <w:b/>
        </w:rPr>
      </w:pPr>
    </w:p>
    <w:p w:rsidR="00842804" w:rsidRDefault="00842804" w:rsidP="00502D7C">
      <w:pPr>
        <w:jc w:val="both"/>
      </w:pPr>
      <w:r>
        <w:lastRenderedPageBreak/>
        <w:t xml:space="preserve">Si se analiza detenidamente la evolución de la confianza del consumidor, a partir de 2007 se observa una gran caída, lo que se tradujo en un mayor ahorro. También hay que señalar que en 2009 la confianza volvió a aumentar. </w:t>
      </w:r>
    </w:p>
    <w:p w:rsidR="00502D7C" w:rsidRDefault="007958AD" w:rsidP="00502D7C">
      <w:pPr>
        <w:jc w:val="both"/>
      </w:pPr>
      <w:r>
        <w:t>Una caída de la confianza del consumidor implica</w:t>
      </w:r>
      <w:r w:rsidR="00502D7C">
        <w:t xml:space="preserve">, mayor ahorro. La causa de esto, siguiendo a </w:t>
      </w:r>
      <w:proofErr w:type="spellStart"/>
      <w:r w:rsidR="00502D7C">
        <w:t>Uxó</w:t>
      </w:r>
      <w:proofErr w:type="spellEnd"/>
      <w:r w:rsidR="00502D7C">
        <w:t xml:space="preserve"> (2010), puede </w:t>
      </w:r>
      <w:r>
        <w:t>venir</w:t>
      </w:r>
      <w:r w:rsidR="00502D7C">
        <w:t xml:space="preserve"> por el deseo de crear y mantener un nivel de riqueza para así cubrir el riesgo que supone la incertidumbre con respecto a los futuros ingresos, de modo que si las rentas futuras no se realizan finalmente, se pueda mantener un mínimo de consumo. A este hecho se</w:t>
      </w:r>
      <w:r w:rsidR="00842804">
        <w:t xml:space="preserve"> le denomina ahorro preventivo o por precaución.</w:t>
      </w:r>
    </w:p>
    <w:p w:rsidR="00502D7C" w:rsidRDefault="00502D7C" w:rsidP="00502D7C">
      <w:pPr>
        <w:jc w:val="both"/>
      </w:pPr>
    </w:p>
    <w:p w:rsidR="00502D7C" w:rsidRDefault="00502D7C" w:rsidP="00502D7C">
      <w:pPr>
        <w:jc w:val="both"/>
      </w:pPr>
      <w:r>
        <w:t xml:space="preserve">Por tanto, </w:t>
      </w:r>
      <w:r w:rsidR="00605C64">
        <w:t>una importante</w:t>
      </w:r>
      <w:r>
        <w:t xml:space="preserve"> causa del incremento del ahorro en los hogares se debe a su incertidumbre sobre</w:t>
      </w:r>
      <w:r w:rsidR="00A14B85">
        <w:t xml:space="preserve"> la situación actual y sobre</w:t>
      </w:r>
      <w:r w:rsidR="00605C64">
        <w:t xml:space="preserve"> el futuro, que se puede medir a través de la confianza del consumidor.  En este sentido el desempleo es una fuente de incertidumbre muy importante, como se verá a continuación.</w:t>
      </w:r>
    </w:p>
    <w:p w:rsidR="00502D7C" w:rsidRDefault="00502D7C" w:rsidP="00F27E15">
      <w:pPr>
        <w:ind w:left="708"/>
        <w:rPr>
          <w:b/>
        </w:rPr>
      </w:pPr>
    </w:p>
    <w:p w:rsidR="00502D7C" w:rsidRDefault="00502D7C" w:rsidP="00331C39">
      <w:pPr>
        <w:pStyle w:val="Ttulo3"/>
        <w:numPr>
          <w:ilvl w:val="2"/>
          <w:numId w:val="18"/>
        </w:numPr>
      </w:pPr>
      <w:bookmarkStart w:id="7" w:name="_Toc291939259"/>
      <w:r>
        <w:t>Un factor de incertidumbre de particular relevancia: e</w:t>
      </w:r>
      <w:r w:rsidRPr="00AF0D9A">
        <w:t>l desempleo</w:t>
      </w:r>
      <w:bookmarkEnd w:id="7"/>
    </w:p>
    <w:p w:rsidR="00502D7C" w:rsidRDefault="00502D7C" w:rsidP="00502D7C"/>
    <w:p w:rsidR="00502D7C" w:rsidRDefault="00502D7C" w:rsidP="00502D7C">
      <w:pPr>
        <w:jc w:val="both"/>
      </w:pPr>
      <w:r>
        <w:t xml:space="preserve">La confianza no es el único factor influyente en la decisión de ahorrar. La crisis económica ha tenido un efecto </w:t>
      </w:r>
      <w:r w:rsidR="00054F01">
        <w:t>especialmente pronunciado</w:t>
      </w:r>
      <w:r>
        <w:t xml:space="preserve"> sobre el desempleo, que en los últimos meses </w:t>
      </w:r>
      <w:r w:rsidR="00054F01">
        <w:t>se ha incrementado</w:t>
      </w:r>
      <w:r>
        <w:t xml:space="preserve"> </w:t>
      </w:r>
      <w:r w:rsidR="00054F01">
        <w:t>h</w:t>
      </w:r>
      <w:r>
        <w:t>a</w:t>
      </w:r>
      <w:r w:rsidR="00054F01">
        <w:t>sta</w:t>
      </w:r>
      <w:r>
        <w:t xml:space="preserve"> niveles muy altos y en un tiempo record</w:t>
      </w:r>
      <w:r w:rsidR="00054F01">
        <w:t xml:space="preserve"> en poco tiempo</w:t>
      </w:r>
      <w:r>
        <w:t xml:space="preserve">. Esto condiciona la situación económica de los hogares, que ven como sus ingresos disminuyen. En este sentido, podría interpretarse que el desempleo condiciona la </w:t>
      </w:r>
      <w:r w:rsidR="00D26FD0">
        <w:t>renta d</w:t>
      </w:r>
      <w:r>
        <w:t xml:space="preserve">isponible </w:t>
      </w:r>
      <w:r w:rsidR="00D26FD0">
        <w:t>b</w:t>
      </w:r>
      <w:r w:rsidR="00054F01">
        <w:t xml:space="preserve">ruta </w:t>
      </w:r>
      <w:r>
        <w:t xml:space="preserve">de las familias debido a que las personas en paro ven reducidos sus ingresos. Sin embargo, se ha considerado el desempleo como una forma particular de incertidumbre (Argandoña, 1994). Bajo este criterio, se considera que las personas se encuentras influidas de dos formas distintas por el desempleo. Aquellas que están en paro, deben ahorrar para mantener un nivel de vida digno ante la falta de ingresos procedentes del trabajo. Por su parte, las personas que tiene trabajo pero ven aumentar el paro y empeorar la situación de las empresas pueden ver aumentada su incertidumbre, por lo que ante la posibilidad de perder sus puestos de trabajo, aumentan su ahorro para así hacer frente a esa situación hipotética (ahorro por precaución). </w:t>
      </w:r>
    </w:p>
    <w:p w:rsidR="00502D7C" w:rsidRDefault="00502D7C" w:rsidP="00502D7C">
      <w:pPr>
        <w:jc w:val="both"/>
      </w:pPr>
    </w:p>
    <w:p w:rsidR="00502D7C" w:rsidRDefault="00502D7C" w:rsidP="00502D7C">
      <w:pPr>
        <w:jc w:val="both"/>
      </w:pPr>
      <w:r>
        <w:t xml:space="preserve">Por tanto, es necesario tener en cuenta el empleo como factor determinante en el nivel de ahorro </w:t>
      </w:r>
      <w:r w:rsidR="00605C64">
        <w:t xml:space="preserve">bruto </w:t>
      </w:r>
      <w:r>
        <w:t>familiar más que de la renta disponible</w:t>
      </w:r>
      <w:r w:rsidR="00A97774">
        <w:t xml:space="preserve"> bruta</w:t>
      </w:r>
      <w:r>
        <w:t xml:space="preserve">, a la cual se hará referencia en el siguiente apartado y que directamente está influida por los ingresos que obtiene las persona, tanto provenientes de un puesto de trabajo como de las prestaciones sociales (como el caso de desempleo). </w:t>
      </w:r>
    </w:p>
    <w:p w:rsidR="00502D7C" w:rsidRDefault="00502D7C" w:rsidP="00502D7C"/>
    <w:p w:rsidR="00502D7C" w:rsidRPr="00CE2ECE" w:rsidRDefault="00502D7C" w:rsidP="00502D7C">
      <w:pPr>
        <w:jc w:val="center"/>
        <w:rPr>
          <w:b/>
        </w:rPr>
      </w:pPr>
      <w:r w:rsidRPr="00CE2ECE">
        <w:rPr>
          <w:b/>
        </w:rPr>
        <w:t xml:space="preserve">Gráfico </w:t>
      </w:r>
      <w:r w:rsidR="00F37487">
        <w:rPr>
          <w:b/>
        </w:rPr>
        <w:t>6</w:t>
      </w:r>
      <w:r w:rsidRPr="00CE2ECE">
        <w:rPr>
          <w:b/>
        </w:rPr>
        <w:t xml:space="preserve">. </w:t>
      </w:r>
      <w:r w:rsidR="00F03535">
        <w:rPr>
          <w:b/>
        </w:rPr>
        <w:t xml:space="preserve">Tasa de Paro en % (2000-2009) </w:t>
      </w:r>
    </w:p>
    <w:p w:rsidR="00502D7C" w:rsidRPr="00D35048" w:rsidRDefault="00502D7C" w:rsidP="00502D7C">
      <w:pPr>
        <w:jc w:val="both"/>
      </w:pPr>
      <w:r>
        <w:rPr>
          <w:noProof/>
          <w:lang w:val="es-ES_tradnl" w:eastAsia="es-ES_tradnl"/>
        </w:rPr>
        <w:drawing>
          <wp:inline distT="0" distB="0" distL="0" distR="0" wp14:anchorId="463E5F5A" wp14:editId="61DCD231">
            <wp:extent cx="5400675" cy="17145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2946" t="12785" r="2069" b="5023"/>
                    <a:stretch/>
                  </pic:blipFill>
                  <pic:spPr bwMode="auto">
                    <a:xfrm>
                      <a:off x="0" y="0"/>
                      <a:ext cx="5400675"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502D7C" w:rsidRPr="00F03535" w:rsidRDefault="00502D7C" w:rsidP="00502D7C">
      <w:pPr>
        <w:jc w:val="center"/>
        <w:rPr>
          <w:b/>
          <w:sz w:val="20"/>
          <w:szCs w:val="22"/>
        </w:rPr>
      </w:pPr>
      <w:r w:rsidRPr="00F03535">
        <w:rPr>
          <w:b/>
          <w:sz w:val="20"/>
          <w:szCs w:val="22"/>
        </w:rPr>
        <w:t>Fuente: Elaboración propia. Datos de la EPA (INE)</w:t>
      </w:r>
    </w:p>
    <w:p w:rsidR="00502D7C" w:rsidRDefault="00502D7C" w:rsidP="00502D7C">
      <w:pPr>
        <w:jc w:val="both"/>
      </w:pPr>
    </w:p>
    <w:p w:rsidR="00502D7C" w:rsidRDefault="00502D7C" w:rsidP="00502D7C"/>
    <w:p w:rsidR="00502D7C" w:rsidRPr="00FD5E50" w:rsidRDefault="00502D7C" w:rsidP="00502D7C">
      <w:pPr>
        <w:jc w:val="center"/>
        <w:rPr>
          <w:szCs w:val="22"/>
        </w:rPr>
      </w:pPr>
    </w:p>
    <w:p w:rsidR="00502D7C" w:rsidRDefault="00F03535" w:rsidP="00502D7C">
      <w:pPr>
        <w:jc w:val="both"/>
      </w:pPr>
      <w:r>
        <w:t>C</w:t>
      </w:r>
      <w:r w:rsidR="00502D7C">
        <w:t xml:space="preserve">uanto más se incrementa el paro, más ahorran las familias. La explicación de este hecho es de nuevo el ahorro </w:t>
      </w:r>
      <w:r>
        <w:t>por precaución</w:t>
      </w:r>
      <w:r w:rsidR="00502D7C">
        <w:t xml:space="preserve">. La familias ven reducidos sus ingresos corrientes y ante la dificultad de encontrar trabajo deben ahorrar parte de su ingresos para así poder </w:t>
      </w:r>
      <w:r>
        <w:t>afrontar la situación futura, en la</w:t>
      </w:r>
      <w:r w:rsidR="00502D7C">
        <w:t xml:space="preserve"> que no hay certeza de encontrar trabajo. </w:t>
      </w:r>
    </w:p>
    <w:p w:rsidR="00502D7C" w:rsidRDefault="00502D7C" w:rsidP="00502D7C"/>
    <w:p w:rsidR="00502D7C" w:rsidRDefault="00502D7C" w:rsidP="00331C39">
      <w:pPr>
        <w:pStyle w:val="Ttulo3"/>
        <w:numPr>
          <w:ilvl w:val="2"/>
          <w:numId w:val="18"/>
        </w:numPr>
      </w:pPr>
      <w:bookmarkStart w:id="8" w:name="_Toc291939260"/>
      <w:r w:rsidRPr="00641F03">
        <w:t>Efecto riqueza de la vivienda</w:t>
      </w:r>
      <w:bookmarkEnd w:id="8"/>
    </w:p>
    <w:p w:rsidR="00502D7C" w:rsidRDefault="00502D7C" w:rsidP="00502D7C"/>
    <w:p w:rsidR="00A9476A" w:rsidRDefault="00A9476A" w:rsidP="00502D7C">
      <w:pPr>
        <w:jc w:val="both"/>
      </w:pPr>
      <w:r>
        <w:t>Hasta ahora se ha podido apreciar la importancia de la incertidumbre en las decisiones de los hogares españoles. Sin embargo, otro factor a tener en cuenta – especialmente por las características de la economía española – es la riqueza inmobiliaria de las familias.</w:t>
      </w:r>
    </w:p>
    <w:p w:rsidR="00A9476A" w:rsidRDefault="00A9476A" w:rsidP="00502D7C">
      <w:pPr>
        <w:jc w:val="both"/>
      </w:pPr>
    </w:p>
    <w:p w:rsidR="00502D7C" w:rsidRDefault="00502D7C" w:rsidP="00502D7C">
      <w:pPr>
        <w:jc w:val="both"/>
      </w:pPr>
      <w:r>
        <w:t xml:space="preserve">La vivienda ha sido durante muchos años causa de riqueza económica para España. El boom que el mercado inmobiliaria experimentó supuso el auge del sector de la construcción, cuya aportación al PIB fue muy importante para el fuerte crecimiento experimentado por España. Como señala </w:t>
      </w:r>
      <w:proofErr w:type="spellStart"/>
      <w:r>
        <w:t>Taltavull</w:t>
      </w:r>
      <w:proofErr w:type="spellEnd"/>
      <w:r>
        <w:t xml:space="preserve"> (2005), en estos años de auge del sector inmobiliario tanto la edificación como la financiación alcanzaron máximos históricos, lo que se debió a razones como las transformaciones de la economía española a causa de la entrada en el Mercado Único, la aparición de fuentes de demanda demográfica adicionales, como son los nuevos flujos de inmigración; la ampliación de las líneas de financiación) a la vivienda debido a la liberalización del mercado de capitales; y la aparición de mayor transparencia en el mercado. </w:t>
      </w:r>
    </w:p>
    <w:p w:rsidR="00502D7C" w:rsidRDefault="00502D7C" w:rsidP="00502D7C">
      <w:pPr>
        <w:jc w:val="both"/>
      </w:pPr>
    </w:p>
    <w:p w:rsidR="00502D7C" w:rsidRDefault="00502D7C" w:rsidP="00502D7C">
      <w:pPr>
        <w:jc w:val="both"/>
      </w:pPr>
      <w:r>
        <w:t>Sin embargo, la burbuja que se fue creando por este boom inmobiliario explotó, lo que ha desencadenado la actual crisis económica en España, provocando la contracción de la demanda inmobiliaria, un stock amplio de oferta, la reducción del precio y por tanto la desaparición de inmobiliarias y fuertes problemas para el sector financiero que tienen en sus balances un importante nivel de inmuebles (García Montalvo, 2008; Roldán, 2010)</w:t>
      </w:r>
    </w:p>
    <w:p w:rsidR="00502D7C" w:rsidRDefault="00502D7C" w:rsidP="00502D7C">
      <w:pPr>
        <w:jc w:val="both"/>
      </w:pPr>
    </w:p>
    <w:p w:rsidR="00502D7C" w:rsidRDefault="00CC2358" w:rsidP="00502D7C">
      <w:pPr>
        <w:jc w:val="both"/>
      </w:pPr>
      <w:r>
        <w:t>Durante los años de crecimiento económico la tasa de ahorro familiar era muy baja</w:t>
      </w:r>
      <w:r w:rsidR="00502D7C">
        <w:t xml:space="preserve">. Ello se relaciona con el fuerte endeudamiento de las familias originado por los bajos tipos de interés y el fácil acceso al mercado de crédito. Por otra parte, el fuerte crecimiento del precio de la vivienda provocó un efecto riqueza en las familias, que no vieron necesario aumentar su nivel de ahorro de forma importante. Al aumentar el precio de las viviendas, las familias las adquirían con el fin de inversión, vendiéndolas en el futuro por un precio mayor y obteniendo beneficio por la venta. </w:t>
      </w:r>
    </w:p>
    <w:p w:rsidR="00502D7C" w:rsidRDefault="00502D7C" w:rsidP="00502D7C"/>
    <w:p w:rsidR="00502D7C" w:rsidRDefault="00502D7C" w:rsidP="00502D7C">
      <w:pPr>
        <w:jc w:val="both"/>
      </w:pPr>
      <w:r>
        <w:t xml:space="preserve">Se observa que durante los dos últimos años, el precio de la vivienda se ha reducido, mientras que el ahorro bruto familiar ha aumentado significativamente. Por tanto, en el corto plazo, se ha desarrollado, a causa de la crisis, un efecto de correlación negativa entre las dos magnitudes estudiadas. Esto se debe principalmente al denominado </w:t>
      </w:r>
      <w:r w:rsidRPr="00477632">
        <w:rPr>
          <w:i/>
        </w:rPr>
        <w:t>efecto riqueza</w:t>
      </w:r>
      <w:r>
        <w:t xml:space="preserve"> que provoca el precio de la vivienda. El aumento de los precios residenciales implica una actualización de la riqueza de las familias que son propietarias, lo que a su vez favorece el consumo (</w:t>
      </w:r>
      <w:proofErr w:type="spellStart"/>
      <w:r>
        <w:t>Taltavull</w:t>
      </w:r>
      <w:proofErr w:type="spellEnd"/>
      <w:r>
        <w:t xml:space="preserve">, 2005). Esto fue lo que ocurrió durante los años del auge inmobiliario. Actualmente está ocurriendo justo el efecto contrario. La reducción del precio de la vivienda provoca una contracción del efecto riqueza, </w:t>
      </w:r>
      <w:r w:rsidR="00477632">
        <w:t xml:space="preserve">o lo que es lo mismo, un </w:t>
      </w:r>
      <w:r w:rsidR="00477632" w:rsidRPr="00477632">
        <w:rPr>
          <w:i/>
        </w:rPr>
        <w:t>efecto pobreza</w:t>
      </w:r>
      <w:r w:rsidR="00477632">
        <w:t>. Ello provoca</w:t>
      </w:r>
      <w:r>
        <w:t xml:space="preserve"> que las familias se vean menos ricas y se reduzca su consumo, lo que lleva a un incremento del ahorro que aumente la riqueza familiar.</w:t>
      </w:r>
    </w:p>
    <w:p w:rsidR="00502D7C" w:rsidRDefault="00502D7C" w:rsidP="00502D7C">
      <w:pPr>
        <w:jc w:val="both"/>
      </w:pPr>
    </w:p>
    <w:p w:rsidR="00502D7C" w:rsidRDefault="00502D7C" w:rsidP="00502D7C">
      <w:pPr>
        <w:jc w:val="both"/>
      </w:pPr>
      <w:r>
        <w:lastRenderedPageBreak/>
        <w:t>A continuación se detalla la evolución del precio de la vivienda a través de las dos formas de medirlo más importantes, el</w:t>
      </w:r>
      <w:r w:rsidR="00F37487">
        <w:t xml:space="preserve"> Índice General de Precios de V</w:t>
      </w:r>
      <w:r>
        <w:t>ivienda del Ministerio de Vivienda y los precios estimado</w:t>
      </w:r>
      <w:r w:rsidR="00F37487">
        <w:t>s</w:t>
      </w:r>
      <w:r>
        <w:t xml:space="preserve"> según la Sociedad de Tasación.</w:t>
      </w:r>
    </w:p>
    <w:p w:rsidR="00502D7C" w:rsidRDefault="00502D7C" w:rsidP="00502D7C">
      <w:pPr>
        <w:jc w:val="center"/>
        <w:rPr>
          <w:b/>
        </w:rPr>
      </w:pPr>
    </w:p>
    <w:p w:rsidR="00502D7C" w:rsidRDefault="00502D7C" w:rsidP="00502D7C">
      <w:pPr>
        <w:jc w:val="center"/>
        <w:rPr>
          <w:b/>
        </w:rPr>
      </w:pPr>
    </w:p>
    <w:p w:rsidR="00502D7C" w:rsidRPr="00CE2ECE" w:rsidRDefault="00502D7C" w:rsidP="00502D7C">
      <w:pPr>
        <w:jc w:val="center"/>
        <w:rPr>
          <w:b/>
        </w:rPr>
      </w:pPr>
      <w:r w:rsidRPr="00CE2ECE">
        <w:rPr>
          <w:b/>
        </w:rPr>
        <w:t xml:space="preserve">Tabla </w:t>
      </w:r>
      <w:r w:rsidR="00F37487">
        <w:rPr>
          <w:b/>
        </w:rPr>
        <w:t>2</w:t>
      </w:r>
      <w:r w:rsidRPr="00CE2ECE">
        <w:rPr>
          <w:b/>
        </w:rPr>
        <w:t>.</w:t>
      </w:r>
      <w:r>
        <w:rPr>
          <w:b/>
        </w:rPr>
        <w:t xml:space="preserve"> Precio de la vivienda en España</w:t>
      </w:r>
      <w:r w:rsidRPr="00CE2ECE">
        <w:rPr>
          <w:b/>
        </w:rPr>
        <w:t xml:space="preserve"> </w:t>
      </w:r>
    </w:p>
    <w:tbl>
      <w:tblPr>
        <w:tblW w:w="8377" w:type="dxa"/>
        <w:jc w:val="center"/>
        <w:tblInd w:w="60" w:type="dxa"/>
        <w:tblCellMar>
          <w:left w:w="70" w:type="dxa"/>
          <w:right w:w="70" w:type="dxa"/>
        </w:tblCellMar>
        <w:tblLook w:val="0000" w:firstRow="0" w:lastRow="0" w:firstColumn="0" w:lastColumn="0" w:noHBand="0" w:noVBand="0"/>
      </w:tblPr>
      <w:tblGrid>
        <w:gridCol w:w="585"/>
        <w:gridCol w:w="360"/>
        <w:gridCol w:w="2305"/>
        <w:gridCol w:w="941"/>
        <w:gridCol w:w="1960"/>
        <w:gridCol w:w="1041"/>
        <w:gridCol w:w="1185"/>
      </w:tblGrid>
      <w:tr w:rsidR="00502D7C" w:rsidRPr="003C615C" w:rsidTr="00D30D74">
        <w:trPr>
          <w:trHeight w:val="270"/>
          <w:jc w:val="center"/>
        </w:trPr>
        <w:tc>
          <w:tcPr>
            <w:tcW w:w="945" w:type="dxa"/>
            <w:gridSpan w:val="2"/>
            <w:vMerge w:val="restart"/>
            <w:tcBorders>
              <w:top w:val="single" w:sz="8" w:space="0" w:color="auto"/>
              <w:left w:val="single" w:sz="8" w:space="0" w:color="auto"/>
              <w:right w:val="single" w:sz="4" w:space="0" w:color="auto"/>
            </w:tcBorders>
            <w:shd w:val="clear" w:color="auto" w:fill="CCFFCC"/>
            <w:noWrap/>
            <w:vAlign w:val="center"/>
          </w:tcPr>
          <w:p w:rsidR="00502D7C" w:rsidRPr="003C615C" w:rsidRDefault="00502D7C" w:rsidP="00D30D74">
            <w:pPr>
              <w:jc w:val="center"/>
              <w:rPr>
                <w:rFonts w:cs="Arial"/>
                <w:sz w:val="16"/>
                <w:szCs w:val="16"/>
              </w:rPr>
            </w:pPr>
          </w:p>
        </w:tc>
        <w:tc>
          <w:tcPr>
            <w:tcW w:w="2305" w:type="dxa"/>
            <w:tcBorders>
              <w:top w:val="single" w:sz="8" w:space="0" w:color="auto"/>
              <w:left w:val="single" w:sz="4" w:space="0" w:color="auto"/>
              <w:bottom w:val="single" w:sz="4" w:space="0" w:color="auto"/>
              <w:right w:val="nil"/>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Ministerio de Vivienda</w:t>
            </w:r>
          </w:p>
        </w:tc>
        <w:tc>
          <w:tcPr>
            <w:tcW w:w="2901" w:type="dxa"/>
            <w:gridSpan w:val="2"/>
            <w:tcBorders>
              <w:top w:val="single" w:sz="8" w:space="0" w:color="auto"/>
              <w:left w:val="single" w:sz="8" w:space="0" w:color="auto"/>
              <w:bottom w:val="single" w:sz="4" w:space="0" w:color="auto"/>
              <w:right w:val="single" w:sz="4" w:space="0" w:color="auto"/>
            </w:tcBorders>
            <w:shd w:val="clear" w:color="auto" w:fill="FFFF99"/>
            <w:noWrap/>
            <w:vAlign w:val="center"/>
          </w:tcPr>
          <w:p w:rsidR="00502D7C" w:rsidRPr="003C615C" w:rsidRDefault="00502D7C" w:rsidP="00D30D74">
            <w:pPr>
              <w:jc w:val="center"/>
              <w:rPr>
                <w:rFonts w:cs="Arial"/>
                <w:b/>
                <w:bCs/>
                <w:sz w:val="16"/>
                <w:szCs w:val="16"/>
              </w:rPr>
            </w:pPr>
            <w:r w:rsidRPr="003C615C">
              <w:rPr>
                <w:rFonts w:cs="Arial"/>
                <w:b/>
                <w:bCs/>
                <w:sz w:val="16"/>
                <w:szCs w:val="16"/>
              </w:rPr>
              <w:t>Sociedad de Tasación</w:t>
            </w:r>
          </w:p>
        </w:tc>
        <w:tc>
          <w:tcPr>
            <w:tcW w:w="2226" w:type="dxa"/>
            <w:gridSpan w:val="2"/>
            <w:tcBorders>
              <w:top w:val="single" w:sz="8" w:space="0" w:color="auto"/>
              <w:left w:val="nil"/>
              <w:bottom w:val="single" w:sz="4" w:space="0" w:color="auto"/>
              <w:right w:val="single" w:sz="4"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300"/>
          <w:jc w:val="center"/>
        </w:trPr>
        <w:tc>
          <w:tcPr>
            <w:tcW w:w="945" w:type="dxa"/>
            <w:gridSpan w:val="2"/>
            <w:vMerge/>
            <w:tcBorders>
              <w:left w:val="single" w:sz="8" w:space="0" w:color="auto"/>
              <w:bottom w:val="single" w:sz="4" w:space="0" w:color="auto"/>
              <w:right w:val="single" w:sz="4" w:space="0" w:color="auto"/>
            </w:tcBorders>
            <w:shd w:val="clear" w:color="auto" w:fill="CCFFCC"/>
            <w:noWrap/>
            <w:vAlign w:val="center"/>
          </w:tcPr>
          <w:p w:rsidR="00502D7C" w:rsidRPr="003C615C" w:rsidRDefault="00502D7C" w:rsidP="00D30D74">
            <w:pPr>
              <w:jc w:val="center"/>
              <w:rPr>
                <w:rFonts w:cs="Arial"/>
                <w:sz w:val="16"/>
                <w:szCs w:val="16"/>
              </w:rPr>
            </w:pPr>
          </w:p>
        </w:tc>
        <w:tc>
          <w:tcPr>
            <w:tcW w:w="2305" w:type="dxa"/>
            <w:tcBorders>
              <w:top w:val="nil"/>
              <w:left w:val="single" w:sz="4" w:space="0" w:color="auto"/>
              <w:bottom w:val="single" w:sz="4" w:space="0" w:color="auto"/>
              <w:right w:val="nil"/>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Índice General de Precios</w:t>
            </w:r>
          </w:p>
        </w:tc>
        <w:tc>
          <w:tcPr>
            <w:tcW w:w="941" w:type="dxa"/>
            <w:tcBorders>
              <w:top w:val="nil"/>
              <w:left w:val="single" w:sz="8" w:space="0" w:color="auto"/>
              <w:bottom w:val="single" w:sz="4" w:space="0" w:color="auto"/>
              <w:right w:val="single" w:sz="4" w:space="0" w:color="auto"/>
            </w:tcBorders>
            <w:shd w:val="clear" w:color="auto" w:fill="FFFF99"/>
            <w:noWrap/>
            <w:vAlign w:val="center"/>
          </w:tcPr>
          <w:p w:rsidR="00502D7C" w:rsidRPr="003C615C" w:rsidRDefault="00502D7C" w:rsidP="00D30D74">
            <w:pPr>
              <w:jc w:val="center"/>
              <w:rPr>
                <w:rFonts w:cs="Arial"/>
                <w:b/>
                <w:bCs/>
                <w:sz w:val="16"/>
                <w:szCs w:val="16"/>
              </w:rPr>
            </w:pPr>
            <w:r w:rsidRPr="003C615C">
              <w:rPr>
                <w:rFonts w:cs="Arial"/>
                <w:b/>
                <w:bCs/>
                <w:sz w:val="16"/>
                <w:szCs w:val="16"/>
              </w:rPr>
              <w:t>Precio Medio Nominal</w:t>
            </w:r>
          </w:p>
        </w:tc>
        <w:tc>
          <w:tcPr>
            <w:tcW w:w="1960" w:type="dxa"/>
            <w:tcBorders>
              <w:top w:val="nil"/>
              <w:left w:val="nil"/>
              <w:bottom w:val="single" w:sz="4" w:space="0" w:color="auto"/>
              <w:right w:val="single" w:sz="4" w:space="0" w:color="auto"/>
            </w:tcBorders>
            <w:shd w:val="clear" w:color="auto" w:fill="FFFF99"/>
            <w:noWrap/>
            <w:vAlign w:val="center"/>
          </w:tcPr>
          <w:p w:rsidR="00502D7C" w:rsidRPr="003C615C" w:rsidRDefault="00502D7C" w:rsidP="00D30D74">
            <w:pPr>
              <w:jc w:val="center"/>
              <w:rPr>
                <w:rFonts w:cs="Arial"/>
                <w:b/>
                <w:bCs/>
                <w:sz w:val="16"/>
                <w:szCs w:val="16"/>
              </w:rPr>
            </w:pPr>
            <w:r w:rsidRPr="003C615C">
              <w:rPr>
                <w:rFonts w:cs="Arial"/>
                <w:b/>
                <w:bCs/>
                <w:sz w:val="16"/>
                <w:szCs w:val="16"/>
              </w:rPr>
              <w:t>Valor Medio Nominal  /M</w:t>
            </w:r>
            <w:r w:rsidRPr="003C615C">
              <w:rPr>
                <w:rFonts w:cs="Arial"/>
                <w:b/>
                <w:bCs/>
                <w:sz w:val="16"/>
                <w:szCs w:val="16"/>
                <w:vertAlign w:val="superscript"/>
              </w:rPr>
              <w:t>2</w:t>
            </w:r>
          </w:p>
        </w:tc>
        <w:tc>
          <w:tcPr>
            <w:tcW w:w="1041" w:type="dxa"/>
            <w:tcBorders>
              <w:top w:val="nil"/>
              <w:left w:val="nil"/>
              <w:bottom w:val="nil"/>
              <w:right w:val="nil"/>
            </w:tcBorders>
            <w:shd w:val="clear" w:color="auto" w:fill="FFFF99"/>
            <w:noWrap/>
            <w:vAlign w:val="center"/>
          </w:tcPr>
          <w:p w:rsidR="00502D7C" w:rsidRPr="003C615C" w:rsidRDefault="00502D7C" w:rsidP="00D30D74">
            <w:pPr>
              <w:jc w:val="center"/>
              <w:rPr>
                <w:rFonts w:cs="Arial"/>
                <w:b/>
                <w:bCs/>
                <w:sz w:val="16"/>
                <w:szCs w:val="16"/>
              </w:rPr>
            </w:pPr>
          </w:p>
        </w:tc>
        <w:tc>
          <w:tcPr>
            <w:tcW w:w="1185" w:type="dxa"/>
            <w:tcBorders>
              <w:top w:val="single" w:sz="8" w:space="0" w:color="auto"/>
              <w:left w:val="single" w:sz="8" w:space="0" w:color="auto"/>
              <w:bottom w:val="single" w:sz="4" w:space="0" w:color="auto"/>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val="restart"/>
            <w:tcBorders>
              <w:top w:val="nil"/>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2005</w:t>
            </w:r>
          </w:p>
        </w:tc>
        <w:tc>
          <w:tcPr>
            <w:tcW w:w="360" w:type="dxa"/>
            <w:tcBorders>
              <w:top w:val="single" w:sz="8" w:space="0" w:color="auto"/>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100,0</w:t>
            </w:r>
          </w:p>
        </w:tc>
        <w:tc>
          <w:tcPr>
            <w:tcW w:w="941" w:type="dxa"/>
            <w:tcBorders>
              <w:top w:val="nil"/>
              <w:left w:val="single" w:sz="8" w:space="0" w:color="auto"/>
              <w:bottom w:val="single" w:sz="4" w:space="0" w:color="auto"/>
              <w:right w:val="single" w:sz="4" w:space="0" w:color="auto"/>
            </w:tcBorders>
            <w:shd w:val="clear" w:color="auto" w:fill="auto"/>
            <w:noWrap/>
            <w:vAlign w:val="center"/>
          </w:tcPr>
          <w:p w:rsidR="00502D7C" w:rsidRPr="003C615C" w:rsidRDefault="00502D7C" w:rsidP="00D30D74">
            <w:pPr>
              <w:jc w:val="center"/>
              <w:rPr>
                <w:rFonts w:cs="Arial"/>
                <w:sz w:val="16"/>
                <w:szCs w:val="16"/>
              </w:rPr>
            </w:pPr>
          </w:p>
        </w:tc>
        <w:tc>
          <w:tcPr>
            <w:tcW w:w="1960" w:type="dxa"/>
            <w:tcBorders>
              <w:top w:val="nil"/>
              <w:left w:val="nil"/>
              <w:bottom w:val="single" w:sz="4" w:space="0" w:color="auto"/>
              <w:right w:val="nil"/>
            </w:tcBorders>
            <w:shd w:val="clear" w:color="auto" w:fill="auto"/>
            <w:noWrap/>
            <w:vAlign w:val="center"/>
          </w:tcPr>
          <w:p w:rsidR="00502D7C" w:rsidRPr="003C615C" w:rsidRDefault="00502D7C" w:rsidP="00D30D74">
            <w:pPr>
              <w:jc w:val="center"/>
              <w:rPr>
                <w:rFonts w:cs="Arial"/>
                <w:sz w:val="16"/>
                <w:szCs w:val="16"/>
              </w:rPr>
            </w:pPr>
          </w:p>
        </w:tc>
        <w:tc>
          <w:tcPr>
            <w:tcW w:w="1041" w:type="dxa"/>
            <w:tcBorders>
              <w:top w:val="single" w:sz="8" w:space="0" w:color="auto"/>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p>
        </w:tc>
        <w:tc>
          <w:tcPr>
            <w:tcW w:w="1185" w:type="dxa"/>
            <w:vMerge w:val="restart"/>
            <w:tcBorders>
              <w:top w:val="nil"/>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r w:rsidRPr="003C615C">
              <w:rPr>
                <w:rFonts w:cs="Arial"/>
                <w:b/>
                <w:bCs/>
                <w:sz w:val="16"/>
                <w:szCs w:val="16"/>
              </w:rPr>
              <w:t>2005</w:t>
            </w:r>
          </w:p>
        </w:tc>
      </w:tr>
      <w:tr w:rsidR="00502D7C" w:rsidRPr="003C615C" w:rsidTr="00D30D74">
        <w:trPr>
          <w:trHeight w:val="255"/>
          <w:jc w:val="center"/>
        </w:trPr>
        <w:tc>
          <w:tcPr>
            <w:tcW w:w="585" w:type="dxa"/>
            <w:vMerge/>
            <w:tcBorders>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104,0</w:t>
            </w:r>
          </w:p>
        </w:tc>
        <w:tc>
          <w:tcPr>
            <w:tcW w:w="941" w:type="dxa"/>
            <w:tcBorders>
              <w:top w:val="nil"/>
              <w:left w:val="single" w:sz="8" w:space="0" w:color="auto"/>
              <w:bottom w:val="single" w:sz="4" w:space="0" w:color="auto"/>
              <w:right w:val="single" w:sz="4" w:space="0" w:color="auto"/>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239.000,00</w:t>
            </w:r>
          </w:p>
        </w:tc>
        <w:tc>
          <w:tcPr>
            <w:tcW w:w="1960" w:type="dxa"/>
            <w:tcBorders>
              <w:top w:val="nil"/>
              <w:left w:val="nil"/>
              <w:bottom w:val="single" w:sz="4" w:space="0" w:color="auto"/>
              <w:right w:val="nil"/>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2.390,00</w:t>
            </w: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r w:rsidRPr="003C615C">
              <w:rPr>
                <w:rFonts w:cs="Arial"/>
                <w:sz w:val="16"/>
                <w:szCs w:val="16"/>
              </w:rPr>
              <w:t>Junio</w:t>
            </w:r>
          </w:p>
        </w:tc>
        <w:tc>
          <w:tcPr>
            <w:tcW w:w="1185" w:type="dxa"/>
            <w:vMerge/>
            <w:tcBorders>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tcBorders>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III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105,6</w:t>
            </w:r>
          </w:p>
        </w:tc>
        <w:tc>
          <w:tcPr>
            <w:tcW w:w="941" w:type="dxa"/>
            <w:tcBorders>
              <w:top w:val="nil"/>
              <w:left w:val="single" w:sz="8" w:space="0" w:color="auto"/>
              <w:bottom w:val="single" w:sz="4" w:space="0" w:color="auto"/>
              <w:right w:val="single" w:sz="4" w:space="0" w:color="auto"/>
            </w:tcBorders>
            <w:shd w:val="clear" w:color="auto" w:fill="auto"/>
            <w:noWrap/>
            <w:vAlign w:val="center"/>
          </w:tcPr>
          <w:p w:rsidR="00502D7C" w:rsidRPr="003C615C" w:rsidRDefault="00502D7C" w:rsidP="00D30D74">
            <w:pPr>
              <w:jc w:val="center"/>
              <w:rPr>
                <w:rFonts w:cs="Arial"/>
                <w:sz w:val="16"/>
                <w:szCs w:val="16"/>
              </w:rPr>
            </w:pPr>
          </w:p>
        </w:tc>
        <w:tc>
          <w:tcPr>
            <w:tcW w:w="1960" w:type="dxa"/>
            <w:tcBorders>
              <w:top w:val="nil"/>
              <w:left w:val="nil"/>
              <w:bottom w:val="single" w:sz="4" w:space="0" w:color="auto"/>
              <w:right w:val="nil"/>
            </w:tcBorders>
            <w:shd w:val="clear" w:color="auto" w:fill="auto"/>
            <w:noWrap/>
            <w:vAlign w:val="center"/>
          </w:tcPr>
          <w:p w:rsidR="00502D7C" w:rsidRPr="003C615C" w:rsidRDefault="00502D7C" w:rsidP="00D30D74">
            <w:pPr>
              <w:jc w:val="center"/>
              <w:rPr>
                <w:rFonts w:cs="Arial"/>
                <w:sz w:val="16"/>
                <w:szCs w:val="16"/>
              </w:rPr>
            </w:pP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p>
        </w:tc>
        <w:tc>
          <w:tcPr>
            <w:tcW w:w="1185" w:type="dxa"/>
            <w:vMerge/>
            <w:tcBorders>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tcBorders>
              <w:left w:val="single" w:sz="8" w:space="0" w:color="auto"/>
              <w:bottom w:val="single" w:sz="4"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IV</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108,1</w:t>
            </w:r>
          </w:p>
        </w:tc>
        <w:tc>
          <w:tcPr>
            <w:tcW w:w="941" w:type="dxa"/>
            <w:tcBorders>
              <w:top w:val="nil"/>
              <w:left w:val="single" w:sz="8" w:space="0" w:color="auto"/>
              <w:bottom w:val="single" w:sz="4" w:space="0" w:color="auto"/>
              <w:right w:val="single" w:sz="4" w:space="0" w:color="auto"/>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251.600,00</w:t>
            </w:r>
          </w:p>
        </w:tc>
        <w:tc>
          <w:tcPr>
            <w:tcW w:w="1960" w:type="dxa"/>
            <w:tcBorders>
              <w:top w:val="nil"/>
              <w:left w:val="nil"/>
              <w:bottom w:val="single" w:sz="4" w:space="0" w:color="auto"/>
              <w:right w:val="nil"/>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2.516,00</w:t>
            </w: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r w:rsidRPr="003C615C">
              <w:rPr>
                <w:rFonts w:cs="Arial"/>
                <w:sz w:val="16"/>
                <w:szCs w:val="16"/>
              </w:rPr>
              <w:t>Diciembre</w:t>
            </w:r>
          </w:p>
        </w:tc>
        <w:tc>
          <w:tcPr>
            <w:tcW w:w="1185" w:type="dxa"/>
            <w:vMerge/>
            <w:tcBorders>
              <w:left w:val="nil"/>
              <w:bottom w:val="single" w:sz="4" w:space="0" w:color="auto"/>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val="restart"/>
            <w:tcBorders>
              <w:top w:val="nil"/>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2006</w:t>
            </w: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111,8</w:t>
            </w:r>
          </w:p>
        </w:tc>
        <w:tc>
          <w:tcPr>
            <w:tcW w:w="941" w:type="dxa"/>
            <w:tcBorders>
              <w:top w:val="nil"/>
              <w:left w:val="single" w:sz="8" w:space="0" w:color="auto"/>
              <w:bottom w:val="single" w:sz="4" w:space="0" w:color="auto"/>
              <w:right w:val="single" w:sz="4" w:space="0" w:color="auto"/>
            </w:tcBorders>
            <w:shd w:val="clear" w:color="auto" w:fill="auto"/>
            <w:noWrap/>
            <w:vAlign w:val="center"/>
          </w:tcPr>
          <w:p w:rsidR="00502D7C" w:rsidRPr="003C615C" w:rsidRDefault="00502D7C" w:rsidP="00D30D74">
            <w:pPr>
              <w:jc w:val="center"/>
              <w:rPr>
                <w:rFonts w:cs="Arial"/>
                <w:sz w:val="16"/>
                <w:szCs w:val="16"/>
              </w:rPr>
            </w:pPr>
          </w:p>
        </w:tc>
        <w:tc>
          <w:tcPr>
            <w:tcW w:w="1960" w:type="dxa"/>
            <w:tcBorders>
              <w:top w:val="nil"/>
              <w:left w:val="nil"/>
              <w:bottom w:val="single" w:sz="4" w:space="0" w:color="auto"/>
              <w:right w:val="nil"/>
            </w:tcBorders>
            <w:shd w:val="clear" w:color="auto" w:fill="auto"/>
            <w:noWrap/>
            <w:vAlign w:val="center"/>
          </w:tcPr>
          <w:p w:rsidR="00502D7C" w:rsidRPr="003C615C" w:rsidRDefault="00502D7C" w:rsidP="00D30D74">
            <w:pPr>
              <w:jc w:val="center"/>
              <w:rPr>
                <w:rFonts w:cs="Arial"/>
                <w:sz w:val="16"/>
                <w:szCs w:val="16"/>
              </w:rPr>
            </w:pP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p>
        </w:tc>
        <w:tc>
          <w:tcPr>
            <w:tcW w:w="1185" w:type="dxa"/>
            <w:vMerge w:val="restart"/>
            <w:tcBorders>
              <w:top w:val="nil"/>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r w:rsidRPr="003C615C">
              <w:rPr>
                <w:rFonts w:cs="Arial"/>
                <w:b/>
                <w:bCs/>
                <w:sz w:val="16"/>
                <w:szCs w:val="16"/>
              </w:rPr>
              <w:t>2006</w:t>
            </w:r>
          </w:p>
        </w:tc>
      </w:tr>
      <w:tr w:rsidR="00502D7C" w:rsidRPr="003C615C" w:rsidTr="00D30D74">
        <w:trPr>
          <w:trHeight w:val="255"/>
          <w:jc w:val="center"/>
        </w:trPr>
        <w:tc>
          <w:tcPr>
            <w:tcW w:w="585" w:type="dxa"/>
            <w:vMerge/>
            <w:tcBorders>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115,0</w:t>
            </w:r>
          </w:p>
        </w:tc>
        <w:tc>
          <w:tcPr>
            <w:tcW w:w="941" w:type="dxa"/>
            <w:tcBorders>
              <w:top w:val="nil"/>
              <w:left w:val="single" w:sz="8" w:space="0" w:color="auto"/>
              <w:bottom w:val="single" w:sz="4" w:space="0" w:color="auto"/>
              <w:right w:val="single" w:sz="4" w:space="0" w:color="auto"/>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267.500,00</w:t>
            </w:r>
          </w:p>
        </w:tc>
        <w:tc>
          <w:tcPr>
            <w:tcW w:w="1960" w:type="dxa"/>
            <w:tcBorders>
              <w:top w:val="nil"/>
              <w:left w:val="nil"/>
              <w:bottom w:val="single" w:sz="4" w:space="0" w:color="auto"/>
              <w:right w:val="nil"/>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2.675,00</w:t>
            </w: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r w:rsidRPr="003C615C">
              <w:rPr>
                <w:rFonts w:cs="Arial"/>
                <w:sz w:val="16"/>
                <w:szCs w:val="16"/>
              </w:rPr>
              <w:t>Junio</w:t>
            </w:r>
          </w:p>
        </w:tc>
        <w:tc>
          <w:tcPr>
            <w:tcW w:w="1185" w:type="dxa"/>
            <w:vMerge/>
            <w:tcBorders>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tcBorders>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III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115,9</w:t>
            </w:r>
          </w:p>
        </w:tc>
        <w:tc>
          <w:tcPr>
            <w:tcW w:w="941" w:type="dxa"/>
            <w:tcBorders>
              <w:top w:val="nil"/>
              <w:left w:val="single" w:sz="8" w:space="0" w:color="auto"/>
              <w:bottom w:val="single" w:sz="4" w:space="0" w:color="auto"/>
              <w:right w:val="single" w:sz="4" w:space="0" w:color="auto"/>
            </w:tcBorders>
            <w:shd w:val="clear" w:color="auto" w:fill="auto"/>
            <w:noWrap/>
            <w:vAlign w:val="center"/>
          </w:tcPr>
          <w:p w:rsidR="00502D7C" w:rsidRPr="003C615C" w:rsidRDefault="00502D7C" w:rsidP="00D30D74">
            <w:pPr>
              <w:jc w:val="center"/>
              <w:rPr>
                <w:rFonts w:cs="Arial"/>
                <w:sz w:val="16"/>
                <w:szCs w:val="16"/>
              </w:rPr>
            </w:pPr>
          </w:p>
        </w:tc>
        <w:tc>
          <w:tcPr>
            <w:tcW w:w="1960" w:type="dxa"/>
            <w:tcBorders>
              <w:top w:val="nil"/>
              <w:left w:val="nil"/>
              <w:bottom w:val="single" w:sz="4" w:space="0" w:color="auto"/>
              <w:right w:val="nil"/>
            </w:tcBorders>
            <w:shd w:val="clear" w:color="auto" w:fill="auto"/>
            <w:noWrap/>
            <w:vAlign w:val="center"/>
          </w:tcPr>
          <w:p w:rsidR="00502D7C" w:rsidRPr="003C615C" w:rsidRDefault="00502D7C" w:rsidP="00D30D74">
            <w:pPr>
              <w:jc w:val="center"/>
              <w:rPr>
                <w:rFonts w:cs="Arial"/>
                <w:sz w:val="16"/>
                <w:szCs w:val="16"/>
              </w:rPr>
            </w:pP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p>
        </w:tc>
        <w:tc>
          <w:tcPr>
            <w:tcW w:w="1185" w:type="dxa"/>
            <w:vMerge/>
            <w:tcBorders>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tcBorders>
              <w:left w:val="single" w:sz="8" w:space="0" w:color="auto"/>
              <w:bottom w:val="single" w:sz="4"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IV</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117,9</w:t>
            </w:r>
          </w:p>
        </w:tc>
        <w:tc>
          <w:tcPr>
            <w:tcW w:w="941" w:type="dxa"/>
            <w:tcBorders>
              <w:top w:val="nil"/>
              <w:left w:val="single" w:sz="8" w:space="0" w:color="auto"/>
              <w:bottom w:val="single" w:sz="4" w:space="0" w:color="auto"/>
              <w:right w:val="single" w:sz="4" w:space="0" w:color="auto"/>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276.300,00</w:t>
            </w:r>
          </w:p>
        </w:tc>
        <w:tc>
          <w:tcPr>
            <w:tcW w:w="1960" w:type="dxa"/>
            <w:tcBorders>
              <w:top w:val="nil"/>
              <w:left w:val="nil"/>
              <w:bottom w:val="single" w:sz="4" w:space="0" w:color="auto"/>
              <w:right w:val="nil"/>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2.763,00</w:t>
            </w: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r w:rsidRPr="003C615C">
              <w:rPr>
                <w:rFonts w:cs="Arial"/>
                <w:sz w:val="16"/>
                <w:szCs w:val="16"/>
              </w:rPr>
              <w:t>Diciembre</w:t>
            </w:r>
          </w:p>
        </w:tc>
        <w:tc>
          <w:tcPr>
            <w:tcW w:w="1185" w:type="dxa"/>
            <w:vMerge/>
            <w:tcBorders>
              <w:left w:val="nil"/>
              <w:bottom w:val="single" w:sz="4" w:space="0" w:color="auto"/>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val="restart"/>
            <w:tcBorders>
              <w:top w:val="nil"/>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2007</w:t>
            </w: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119,9</w:t>
            </w:r>
          </w:p>
        </w:tc>
        <w:tc>
          <w:tcPr>
            <w:tcW w:w="941" w:type="dxa"/>
            <w:tcBorders>
              <w:top w:val="nil"/>
              <w:left w:val="single" w:sz="8" w:space="0" w:color="auto"/>
              <w:bottom w:val="single" w:sz="4" w:space="0" w:color="auto"/>
              <w:right w:val="single" w:sz="4" w:space="0" w:color="auto"/>
            </w:tcBorders>
            <w:shd w:val="clear" w:color="auto" w:fill="auto"/>
            <w:noWrap/>
            <w:vAlign w:val="center"/>
          </w:tcPr>
          <w:p w:rsidR="00502D7C" w:rsidRPr="003C615C" w:rsidRDefault="00502D7C" w:rsidP="00D30D74">
            <w:pPr>
              <w:jc w:val="center"/>
              <w:rPr>
                <w:rFonts w:cs="Arial"/>
                <w:sz w:val="16"/>
                <w:szCs w:val="16"/>
              </w:rPr>
            </w:pPr>
          </w:p>
        </w:tc>
        <w:tc>
          <w:tcPr>
            <w:tcW w:w="1960" w:type="dxa"/>
            <w:tcBorders>
              <w:top w:val="nil"/>
              <w:left w:val="nil"/>
              <w:bottom w:val="single" w:sz="4" w:space="0" w:color="auto"/>
              <w:right w:val="nil"/>
            </w:tcBorders>
            <w:shd w:val="clear" w:color="auto" w:fill="auto"/>
            <w:noWrap/>
            <w:vAlign w:val="center"/>
          </w:tcPr>
          <w:p w:rsidR="00502D7C" w:rsidRPr="003C615C" w:rsidRDefault="00502D7C" w:rsidP="00D30D74">
            <w:pPr>
              <w:jc w:val="center"/>
              <w:rPr>
                <w:rFonts w:cs="Arial"/>
                <w:sz w:val="16"/>
                <w:szCs w:val="16"/>
              </w:rPr>
            </w:pP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p>
        </w:tc>
        <w:tc>
          <w:tcPr>
            <w:tcW w:w="1185" w:type="dxa"/>
            <w:vMerge w:val="restart"/>
            <w:tcBorders>
              <w:top w:val="nil"/>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r w:rsidRPr="003C615C">
              <w:rPr>
                <w:rFonts w:cs="Arial"/>
                <w:b/>
                <w:bCs/>
                <w:sz w:val="16"/>
                <w:szCs w:val="16"/>
              </w:rPr>
              <w:t>2007</w:t>
            </w:r>
          </w:p>
        </w:tc>
      </w:tr>
      <w:tr w:rsidR="00502D7C" w:rsidRPr="003C615C" w:rsidTr="00D30D74">
        <w:trPr>
          <w:trHeight w:val="255"/>
          <w:jc w:val="center"/>
        </w:trPr>
        <w:tc>
          <w:tcPr>
            <w:tcW w:w="585" w:type="dxa"/>
            <w:vMerge/>
            <w:tcBorders>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121,7</w:t>
            </w:r>
          </w:p>
        </w:tc>
        <w:tc>
          <w:tcPr>
            <w:tcW w:w="941" w:type="dxa"/>
            <w:tcBorders>
              <w:top w:val="nil"/>
              <w:left w:val="single" w:sz="8" w:space="0" w:color="auto"/>
              <w:bottom w:val="single" w:sz="4" w:space="0" w:color="auto"/>
              <w:right w:val="single" w:sz="4" w:space="0" w:color="auto"/>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287.400,00</w:t>
            </w:r>
          </w:p>
        </w:tc>
        <w:tc>
          <w:tcPr>
            <w:tcW w:w="1960" w:type="dxa"/>
            <w:tcBorders>
              <w:top w:val="nil"/>
              <w:left w:val="nil"/>
              <w:bottom w:val="single" w:sz="4" w:space="0" w:color="auto"/>
              <w:right w:val="nil"/>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2.874,00</w:t>
            </w: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r w:rsidRPr="003C615C">
              <w:rPr>
                <w:rFonts w:cs="Arial"/>
                <w:sz w:val="16"/>
                <w:szCs w:val="16"/>
              </w:rPr>
              <w:t>Junio</w:t>
            </w:r>
          </w:p>
        </w:tc>
        <w:tc>
          <w:tcPr>
            <w:tcW w:w="1185" w:type="dxa"/>
            <w:vMerge/>
            <w:tcBorders>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tcBorders>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III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122,1</w:t>
            </w:r>
          </w:p>
        </w:tc>
        <w:tc>
          <w:tcPr>
            <w:tcW w:w="941" w:type="dxa"/>
            <w:tcBorders>
              <w:top w:val="nil"/>
              <w:left w:val="single" w:sz="8" w:space="0" w:color="auto"/>
              <w:bottom w:val="single" w:sz="4" w:space="0" w:color="auto"/>
              <w:right w:val="single" w:sz="4" w:space="0" w:color="auto"/>
            </w:tcBorders>
            <w:shd w:val="clear" w:color="auto" w:fill="auto"/>
            <w:noWrap/>
            <w:vAlign w:val="center"/>
          </w:tcPr>
          <w:p w:rsidR="00502D7C" w:rsidRPr="003C615C" w:rsidRDefault="00502D7C" w:rsidP="00D30D74">
            <w:pPr>
              <w:jc w:val="center"/>
              <w:rPr>
                <w:rFonts w:cs="Arial"/>
                <w:sz w:val="16"/>
                <w:szCs w:val="16"/>
              </w:rPr>
            </w:pPr>
          </w:p>
        </w:tc>
        <w:tc>
          <w:tcPr>
            <w:tcW w:w="1960" w:type="dxa"/>
            <w:tcBorders>
              <w:top w:val="nil"/>
              <w:left w:val="nil"/>
              <w:bottom w:val="single" w:sz="4" w:space="0" w:color="auto"/>
              <w:right w:val="nil"/>
            </w:tcBorders>
            <w:shd w:val="clear" w:color="auto" w:fill="auto"/>
            <w:noWrap/>
            <w:vAlign w:val="center"/>
          </w:tcPr>
          <w:p w:rsidR="00502D7C" w:rsidRPr="003C615C" w:rsidRDefault="00502D7C" w:rsidP="00D30D74">
            <w:pPr>
              <w:jc w:val="center"/>
              <w:rPr>
                <w:rFonts w:cs="Arial"/>
                <w:sz w:val="16"/>
                <w:szCs w:val="16"/>
              </w:rPr>
            </w:pP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p>
        </w:tc>
        <w:tc>
          <w:tcPr>
            <w:tcW w:w="1185" w:type="dxa"/>
            <w:vMerge/>
            <w:tcBorders>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tcBorders>
              <w:left w:val="single" w:sz="8" w:space="0" w:color="auto"/>
              <w:bottom w:val="single" w:sz="4"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IV</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123,7</w:t>
            </w:r>
          </w:p>
        </w:tc>
        <w:tc>
          <w:tcPr>
            <w:tcW w:w="941" w:type="dxa"/>
            <w:tcBorders>
              <w:top w:val="nil"/>
              <w:left w:val="single" w:sz="8" w:space="0" w:color="auto"/>
              <w:bottom w:val="single" w:sz="4" w:space="0" w:color="auto"/>
              <w:right w:val="single" w:sz="4" w:space="0" w:color="auto"/>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290.500,00</w:t>
            </w:r>
          </w:p>
        </w:tc>
        <w:tc>
          <w:tcPr>
            <w:tcW w:w="1960" w:type="dxa"/>
            <w:tcBorders>
              <w:top w:val="nil"/>
              <w:left w:val="nil"/>
              <w:bottom w:val="single" w:sz="4" w:space="0" w:color="auto"/>
              <w:right w:val="nil"/>
            </w:tcBorders>
            <w:shd w:val="clear" w:color="auto" w:fill="auto"/>
            <w:vAlign w:val="center"/>
          </w:tcPr>
          <w:p w:rsidR="00502D7C" w:rsidRPr="003C615C" w:rsidRDefault="00502D7C" w:rsidP="00D30D74">
            <w:pPr>
              <w:jc w:val="center"/>
              <w:rPr>
                <w:rFonts w:cs="Arial"/>
                <w:sz w:val="16"/>
                <w:szCs w:val="16"/>
              </w:rPr>
            </w:pPr>
            <w:r w:rsidRPr="003C615C">
              <w:rPr>
                <w:rFonts w:cs="Arial"/>
                <w:sz w:val="16"/>
                <w:szCs w:val="16"/>
              </w:rPr>
              <w:t>2.905,00</w:t>
            </w: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r w:rsidRPr="003C615C">
              <w:rPr>
                <w:rFonts w:cs="Arial"/>
                <w:sz w:val="16"/>
                <w:szCs w:val="16"/>
              </w:rPr>
              <w:t>Diciembre</w:t>
            </w:r>
          </w:p>
        </w:tc>
        <w:tc>
          <w:tcPr>
            <w:tcW w:w="1185" w:type="dxa"/>
            <w:vMerge/>
            <w:tcBorders>
              <w:left w:val="nil"/>
              <w:bottom w:val="single" w:sz="4" w:space="0" w:color="auto"/>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val="restart"/>
            <w:tcBorders>
              <w:top w:val="nil"/>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2008</w:t>
            </w: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sz w:val="16"/>
                <w:szCs w:val="16"/>
              </w:rPr>
            </w:pPr>
            <w:r w:rsidRPr="003C615C">
              <w:rPr>
                <w:rFonts w:cs="Arial"/>
                <w:sz w:val="16"/>
                <w:szCs w:val="16"/>
              </w:rPr>
              <w:t>124,7</w:t>
            </w:r>
          </w:p>
        </w:tc>
        <w:tc>
          <w:tcPr>
            <w:tcW w:w="941" w:type="dxa"/>
            <w:tcBorders>
              <w:top w:val="nil"/>
              <w:left w:val="single" w:sz="8" w:space="0" w:color="auto"/>
              <w:bottom w:val="single" w:sz="4" w:space="0" w:color="auto"/>
              <w:right w:val="single" w:sz="4" w:space="0" w:color="auto"/>
            </w:tcBorders>
            <w:shd w:val="clear" w:color="auto" w:fill="auto"/>
            <w:noWrap/>
            <w:vAlign w:val="center"/>
          </w:tcPr>
          <w:p w:rsidR="00502D7C" w:rsidRPr="003C615C" w:rsidRDefault="00502D7C" w:rsidP="00D30D74">
            <w:pPr>
              <w:jc w:val="center"/>
              <w:rPr>
                <w:rFonts w:cs="Arial"/>
                <w:sz w:val="16"/>
                <w:szCs w:val="16"/>
              </w:rPr>
            </w:pPr>
          </w:p>
        </w:tc>
        <w:tc>
          <w:tcPr>
            <w:tcW w:w="1960" w:type="dxa"/>
            <w:tcBorders>
              <w:top w:val="nil"/>
              <w:left w:val="nil"/>
              <w:bottom w:val="single" w:sz="4" w:space="0" w:color="auto"/>
              <w:right w:val="nil"/>
            </w:tcBorders>
            <w:shd w:val="clear" w:color="auto" w:fill="auto"/>
            <w:noWrap/>
            <w:vAlign w:val="center"/>
          </w:tcPr>
          <w:p w:rsidR="00502D7C" w:rsidRPr="003C615C" w:rsidRDefault="00502D7C" w:rsidP="00D30D74">
            <w:pPr>
              <w:jc w:val="center"/>
              <w:rPr>
                <w:rFonts w:cs="Arial"/>
                <w:sz w:val="16"/>
                <w:szCs w:val="16"/>
              </w:rPr>
            </w:pP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sz w:val="16"/>
                <w:szCs w:val="16"/>
              </w:rPr>
            </w:pPr>
          </w:p>
        </w:tc>
        <w:tc>
          <w:tcPr>
            <w:tcW w:w="1185" w:type="dxa"/>
            <w:vMerge w:val="restart"/>
            <w:tcBorders>
              <w:top w:val="nil"/>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r w:rsidRPr="003C615C">
              <w:rPr>
                <w:rFonts w:cs="Arial"/>
                <w:b/>
                <w:bCs/>
                <w:sz w:val="16"/>
                <w:szCs w:val="16"/>
              </w:rPr>
              <w:t>2008</w:t>
            </w:r>
          </w:p>
        </w:tc>
      </w:tr>
      <w:tr w:rsidR="00502D7C" w:rsidRPr="003C615C" w:rsidTr="00D30D74">
        <w:trPr>
          <w:trHeight w:val="255"/>
          <w:jc w:val="center"/>
        </w:trPr>
        <w:tc>
          <w:tcPr>
            <w:tcW w:w="585" w:type="dxa"/>
            <w:vMerge/>
            <w:tcBorders>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color w:val="FF0000"/>
                <w:sz w:val="16"/>
                <w:szCs w:val="16"/>
              </w:rPr>
            </w:pPr>
            <w:r w:rsidRPr="003C615C">
              <w:rPr>
                <w:rFonts w:cs="Arial"/>
                <w:b/>
                <w:bCs/>
                <w:color w:val="FF0000"/>
                <w:sz w:val="16"/>
                <w:szCs w:val="16"/>
              </w:rPr>
              <w:t>II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124,6</w:t>
            </w:r>
          </w:p>
        </w:tc>
        <w:tc>
          <w:tcPr>
            <w:tcW w:w="941" w:type="dxa"/>
            <w:tcBorders>
              <w:top w:val="nil"/>
              <w:left w:val="single" w:sz="8" w:space="0" w:color="auto"/>
              <w:bottom w:val="single" w:sz="4" w:space="0" w:color="auto"/>
              <w:right w:val="single" w:sz="4" w:space="0" w:color="auto"/>
            </w:tcBorders>
            <w:shd w:val="clear" w:color="auto" w:fill="auto"/>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287.100,00</w:t>
            </w:r>
          </w:p>
        </w:tc>
        <w:tc>
          <w:tcPr>
            <w:tcW w:w="1960" w:type="dxa"/>
            <w:tcBorders>
              <w:top w:val="nil"/>
              <w:left w:val="nil"/>
              <w:bottom w:val="single" w:sz="4" w:space="0" w:color="auto"/>
              <w:right w:val="nil"/>
            </w:tcBorders>
            <w:shd w:val="clear" w:color="auto" w:fill="auto"/>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2.871,00</w:t>
            </w: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Junio</w:t>
            </w:r>
          </w:p>
        </w:tc>
        <w:tc>
          <w:tcPr>
            <w:tcW w:w="1185" w:type="dxa"/>
            <w:vMerge/>
            <w:tcBorders>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tcBorders>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color w:val="FF0000"/>
                <w:sz w:val="16"/>
                <w:szCs w:val="16"/>
              </w:rPr>
            </w:pPr>
            <w:r w:rsidRPr="003C615C">
              <w:rPr>
                <w:rFonts w:cs="Arial"/>
                <w:b/>
                <w:bCs/>
                <w:color w:val="FF0000"/>
                <w:sz w:val="16"/>
                <w:szCs w:val="16"/>
              </w:rPr>
              <w:t>III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123,0</w:t>
            </w:r>
          </w:p>
        </w:tc>
        <w:tc>
          <w:tcPr>
            <w:tcW w:w="941" w:type="dxa"/>
            <w:tcBorders>
              <w:top w:val="nil"/>
              <w:left w:val="single" w:sz="8" w:space="0" w:color="auto"/>
              <w:bottom w:val="single" w:sz="4" w:space="0" w:color="auto"/>
              <w:right w:val="single" w:sz="4" w:space="0" w:color="auto"/>
            </w:tcBorders>
            <w:shd w:val="clear" w:color="auto" w:fill="auto"/>
            <w:noWrap/>
            <w:vAlign w:val="center"/>
          </w:tcPr>
          <w:p w:rsidR="00502D7C" w:rsidRPr="003C615C" w:rsidRDefault="00502D7C" w:rsidP="00D30D74">
            <w:pPr>
              <w:jc w:val="center"/>
              <w:rPr>
                <w:rFonts w:cs="Arial"/>
                <w:color w:val="FF0000"/>
                <w:sz w:val="16"/>
                <w:szCs w:val="16"/>
              </w:rPr>
            </w:pPr>
          </w:p>
        </w:tc>
        <w:tc>
          <w:tcPr>
            <w:tcW w:w="1960" w:type="dxa"/>
            <w:tcBorders>
              <w:top w:val="nil"/>
              <w:left w:val="nil"/>
              <w:bottom w:val="single" w:sz="4" w:space="0" w:color="auto"/>
              <w:right w:val="nil"/>
            </w:tcBorders>
            <w:shd w:val="clear" w:color="auto" w:fill="auto"/>
            <w:noWrap/>
            <w:vAlign w:val="center"/>
          </w:tcPr>
          <w:p w:rsidR="00502D7C" w:rsidRPr="003C615C" w:rsidRDefault="00502D7C" w:rsidP="00D30D74">
            <w:pPr>
              <w:jc w:val="center"/>
              <w:rPr>
                <w:rFonts w:cs="Arial"/>
                <w:color w:val="FF0000"/>
                <w:sz w:val="16"/>
                <w:szCs w:val="16"/>
              </w:rPr>
            </w:pP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color w:val="FF0000"/>
                <w:sz w:val="16"/>
                <w:szCs w:val="16"/>
              </w:rPr>
            </w:pPr>
          </w:p>
        </w:tc>
        <w:tc>
          <w:tcPr>
            <w:tcW w:w="1185" w:type="dxa"/>
            <w:vMerge/>
            <w:tcBorders>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tcBorders>
              <w:left w:val="single" w:sz="8" w:space="0" w:color="auto"/>
              <w:bottom w:val="single" w:sz="4"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color w:val="FF0000"/>
                <w:sz w:val="16"/>
                <w:szCs w:val="16"/>
              </w:rPr>
            </w:pPr>
            <w:r w:rsidRPr="003C615C">
              <w:rPr>
                <w:rFonts w:cs="Arial"/>
                <w:b/>
                <w:bCs/>
                <w:color w:val="FF0000"/>
                <w:sz w:val="16"/>
                <w:szCs w:val="16"/>
              </w:rPr>
              <w:t>IV</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120,2</w:t>
            </w:r>
          </w:p>
        </w:tc>
        <w:tc>
          <w:tcPr>
            <w:tcW w:w="941" w:type="dxa"/>
            <w:tcBorders>
              <w:top w:val="nil"/>
              <w:left w:val="single" w:sz="8" w:space="0" w:color="auto"/>
              <w:bottom w:val="single" w:sz="4" w:space="0" w:color="auto"/>
              <w:right w:val="single" w:sz="4" w:space="0" w:color="auto"/>
            </w:tcBorders>
            <w:shd w:val="clear" w:color="auto" w:fill="auto"/>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271.200,00</w:t>
            </w:r>
          </w:p>
        </w:tc>
        <w:tc>
          <w:tcPr>
            <w:tcW w:w="1960" w:type="dxa"/>
            <w:tcBorders>
              <w:top w:val="nil"/>
              <w:left w:val="nil"/>
              <w:bottom w:val="single" w:sz="4" w:space="0" w:color="auto"/>
              <w:right w:val="nil"/>
            </w:tcBorders>
            <w:shd w:val="clear" w:color="auto" w:fill="auto"/>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2.712,00</w:t>
            </w: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Diciembre</w:t>
            </w:r>
          </w:p>
        </w:tc>
        <w:tc>
          <w:tcPr>
            <w:tcW w:w="1185" w:type="dxa"/>
            <w:vMerge/>
            <w:tcBorders>
              <w:left w:val="nil"/>
              <w:bottom w:val="single" w:sz="4" w:space="0" w:color="auto"/>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val="restart"/>
            <w:tcBorders>
              <w:top w:val="nil"/>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2009</w:t>
            </w: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color w:val="FF0000"/>
                <w:sz w:val="16"/>
                <w:szCs w:val="16"/>
              </w:rPr>
            </w:pPr>
            <w:r w:rsidRPr="003C615C">
              <w:rPr>
                <w:rFonts w:cs="Arial"/>
                <w:b/>
                <w:bCs/>
                <w:color w:val="FF0000"/>
                <w:sz w:val="16"/>
                <w:szCs w:val="16"/>
              </w:rPr>
              <w:t>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116,6</w:t>
            </w:r>
          </w:p>
        </w:tc>
        <w:tc>
          <w:tcPr>
            <w:tcW w:w="941" w:type="dxa"/>
            <w:tcBorders>
              <w:top w:val="nil"/>
              <w:left w:val="single" w:sz="8" w:space="0" w:color="auto"/>
              <w:bottom w:val="single" w:sz="4" w:space="0" w:color="auto"/>
              <w:right w:val="single" w:sz="4" w:space="0" w:color="auto"/>
            </w:tcBorders>
            <w:shd w:val="clear" w:color="auto" w:fill="auto"/>
            <w:noWrap/>
            <w:vAlign w:val="center"/>
          </w:tcPr>
          <w:p w:rsidR="00502D7C" w:rsidRPr="003C615C" w:rsidRDefault="00502D7C" w:rsidP="00D30D74">
            <w:pPr>
              <w:jc w:val="center"/>
              <w:rPr>
                <w:rFonts w:cs="Arial"/>
                <w:color w:val="FF0000"/>
                <w:sz w:val="16"/>
                <w:szCs w:val="16"/>
              </w:rPr>
            </w:pPr>
          </w:p>
        </w:tc>
        <w:tc>
          <w:tcPr>
            <w:tcW w:w="1960" w:type="dxa"/>
            <w:tcBorders>
              <w:top w:val="nil"/>
              <w:left w:val="nil"/>
              <w:bottom w:val="single" w:sz="4" w:space="0" w:color="auto"/>
              <w:right w:val="nil"/>
            </w:tcBorders>
            <w:shd w:val="clear" w:color="auto" w:fill="auto"/>
            <w:noWrap/>
            <w:vAlign w:val="center"/>
          </w:tcPr>
          <w:p w:rsidR="00502D7C" w:rsidRPr="003C615C" w:rsidRDefault="00502D7C" w:rsidP="00D30D74">
            <w:pPr>
              <w:jc w:val="center"/>
              <w:rPr>
                <w:rFonts w:cs="Arial"/>
                <w:color w:val="FF0000"/>
                <w:sz w:val="16"/>
                <w:szCs w:val="16"/>
              </w:rPr>
            </w:pP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color w:val="FF0000"/>
                <w:sz w:val="16"/>
                <w:szCs w:val="16"/>
              </w:rPr>
            </w:pPr>
          </w:p>
        </w:tc>
        <w:tc>
          <w:tcPr>
            <w:tcW w:w="1185" w:type="dxa"/>
            <w:vMerge w:val="restart"/>
            <w:tcBorders>
              <w:top w:val="nil"/>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r w:rsidRPr="003C615C">
              <w:rPr>
                <w:rFonts w:cs="Arial"/>
                <w:b/>
                <w:bCs/>
                <w:sz w:val="16"/>
                <w:szCs w:val="16"/>
              </w:rPr>
              <w:t>2009</w:t>
            </w:r>
          </w:p>
        </w:tc>
      </w:tr>
      <w:tr w:rsidR="00502D7C" w:rsidRPr="003C615C" w:rsidTr="00D30D74">
        <w:trPr>
          <w:trHeight w:val="255"/>
          <w:jc w:val="center"/>
        </w:trPr>
        <w:tc>
          <w:tcPr>
            <w:tcW w:w="585" w:type="dxa"/>
            <w:vMerge/>
            <w:tcBorders>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color w:val="FF0000"/>
                <w:sz w:val="16"/>
                <w:szCs w:val="16"/>
              </w:rPr>
            </w:pPr>
            <w:r w:rsidRPr="003C615C">
              <w:rPr>
                <w:rFonts w:cs="Arial"/>
                <w:b/>
                <w:bCs/>
                <w:color w:val="FF0000"/>
                <w:sz w:val="16"/>
                <w:szCs w:val="16"/>
              </w:rPr>
              <w:t>II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114,4</w:t>
            </w:r>
          </w:p>
        </w:tc>
        <w:tc>
          <w:tcPr>
            <w:tcW w:w="941" w:type="dxa"/>
            <w:tcBorders>
              <w:top w:val="nil"/>
              <w:left w:val="single" w:sz="8" w:space="0" w:color="auto"/>
              <w:bottom w:val="single" w:sz="4" w:space="0" w:color="auto"/>
              <w:right w:val="single" w:sz="4" w:space="0" w:color="auto"/>
            </w:tcBorders>
            <w:shd w:val="clear" w:color="auto" w:fill="auto"/>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258.900,00</w:t>
            </w:r>
          </w:p>
        </w:tc>
        <w:tc>
          <w:tcPr>
            <w:tcW w:w="1960" w:type="dxa"/>
            <w:tcBorders>
              <w:top w:val="nil"/>
              <w:left w:val="nil"/>
              <w:bottom w:val="single" w:sz="4" w:space="0" w:color="auto"/>
              <w:right w:val="nil"/>
            </w:tcBorders>
            <w:shd w:val="clear" w:color="auto" w:fill="auto"/>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2.589,00</w:t>
            </w: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Junio</w:t>
            </w:r>
          </w:p>
        </w:tc>
        <w:tc>
          <w:tcPr>
            <w:tcW w:w="1185" w:type="dxa"/>
            <w:vMerge/>
            <w:tcBorders>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tcBorders>
              <w:left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color w:val="FF0000"/>
                <w:sz w:val="16"/>
                <w:szCs w:val="16"/>
              </w:rPr>
            </w:pPr>
            <w:r w:rsidRPr="003C615C">
              <w:rPr>
                <w:rFonts w:cs="Arial"/>
                <w:b/>
                <w:bCs/>
                <w:color w:val="FF0000"/>
                <w:sz w:val="16"/>
                <w:szCs w:val="16"/>
              </w:rPr>
              <w:t>III</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113,4</w:t>
            </w:r>
          </w:p>
        </w:tc>
        <w:tc>
          <w:tcPr>
            <w:tcW w:w="941" w:type="dxa"/>
            <w:tcBorders>
              <w:top w:val="nil"/>
              <w:left w:val="single" w:sz="8" w:space="0" w:color="auto"/>
              <w:bottom w:val="single" w:sz="4" w:space="0" w:color="auto"/>
              <w:right w:val="single" w:sz="4" w:space="0" w:color="auto"/>
            </w:tcBorders>
            <w:shd w:val="clear" w:color="auto" w:fill="auto"/>
            <w:noWrap/>
            <w:vAlign w:val="center"/>
          </w:tcPr>
          <w:p w:rsidR="00502D7C" w:rsidRPr="003C615C" w:rsidRDefault="00502D7C" w:rsidP="00D30D74">
            <w:pPr>
              <w:jc w:val="center"/>
              <w:rPr>
                <w:rFonts w:cs="Arial"/>
                <w:color w:val="FF0000"/>
                <w:sz w:val="16"/>
                <w:szCs w:val="16"/>
              </w:rPr>
            </w:pPr>
          </w:p>
        </w:tc>
        <w:tc>
          <w:tcPr>
            <w:tcW w:w="1960" w:type="dxa"/>
            <w:tcBorders>
              <w:top w:val="nil"/>
              <w:left w:val="nil"/>
              <w:bottom w:val="single" w:sz="4" w:space="0" w:color="auto"/>
              <w:right w:val="nil"/>
            </w:tcBorders>
            <w:shd w:val="clear" w:color="auto" w:fill="auto"/>
            <w:noWrap/>
            <w:vAlign w:val="center"/>
          </w:tcPr>
          <w:p w:rsidR="00502D7C" w:rsidRPr="003C615C" w:rsidRDefault="00502D7C" w:rsidP="00D30D74">
            <w:pPr>
              <w:jc w:val="center"/>
              <w:rPr>
                <w:rFonts w:cs="Arial"/>
                <w:color w:val="FF0000"/>
                <w:sz w:val="16"/>
                <w:szCs w:val="16"/>
              </w:rPr>
            </w:pP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color w:val="FF0000"/>
                <w:sz w:val="16"/>
                <w:szCs w:val="16"/>
              </w:rPr>
            </w:pPr>
          </w:p>
        </w:tc>
        <w:tc>
          <w:tcPr>
            <w:tcW w:w="1185" w:type="dxa"/>
            <w:vMerge/>
            <w:tcBorders>
              <w:left w:val="nil"/>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55"/>
          <w:jc w:val="center"/>
        </w:trPr>
        <w:tc>
          <w:tcPr>
            <w:tcW w:w="585" w:type="dxa"/>
            <w:vMerge/>
            <w:tcBorders>
              <w:left w:val="single" w:sz="8" w:space="0" w:color="auto"/>
              <w:bottom w:val="single" w:sz="4" w:space="0" w:color="auto"/>
              <w:right w:val="nil"/>
            </w:tcBorders>
            <w:shd w:val="clear" w:color="auto" w:fill="CCFFCC"/>
            <w:noWrap/>
            <w:vAlign w:val="center"/>
          </w:tcPr>
          <w:p w:rsidR="00502D7C" w:rsidRPr="003C615C" w:rsidRDefault="00502D7C" w:rsidP="00D30D74">
            <w:pPr>
              <w:jc w:val="center"/>
              <w:rPr>
                <w:rFonts w:cs="Arial"/>
                <w:b/>
                <w:bCs/>
                <w:sz w:val="16"/>
                <w:szCs w:val="16"/>
              </w:rPr>
            </w:pPr>
          </w:p>
        </w:tc>
        <w:tc>
          <w:tcPr>
            <w:tcW w:w="360" w:type="dxa"/>
            <w:tcBorders>
              <w:top w:val="nil"/>
              <w:left w:val="single" w:sz="8" w:space="0" w:color="auto"/>
              <w:bottom w:val="single" w:sz="4" w:space="0" w:color="auto"/>
              <w:right w:val="single" w:sz="8" w:space="0" w:color="auto"/>
            </w:tcBorders>
            <w:shd w:val="clear" w:color="auto" w:fill="CCFFCC"/>
            <w:noWrap/>
            <w:vAlign w:val="center"/>
          </w:tcPr>
          <w:p w:rsidR="00502D7C" w:rsidRPr="003C615C" w:rsidRDefault="00502D7C" w:rsidP="00D30D74">
            <w:pPr>
              <w:jc w:val="center"/>
              <w:rPr>
                <w:rFonts w:cs="Arial"/>
                <w:b/>
                <w:bCs/>
                <w:color w:val="FF0000"/>
                <w:sz w:val="16"/>
                <w:szCs w:val="16"/>
              </w:rPr>
            </w:pPr>
            <w:r w:rsidRPr="003C615C">
              <w:rPr>
                <w:rFonts w:cs="Arial"/>
                <w:b/>
                <w:bCs/>
                <w:color w:val="FF0000"/>
                <w:sz w:val="16"/>
                <w:szCs w:val="16"/>
              </w:rPr>
              <w:t>IV</w:t>
            </w:r>
          </w:p>
        </w:tc>
        <w:tc>
          <w:tcPr>
            <w:tcW w:w="2305" w:type="dxa"/>
            <w:tcBorders>
              <w:top w:val="nil"/>
              <w:left w:val="nil"/>
              <w:bottom w:val="single" w:sz="4" w:space="0" w:color="auto"/>
              <w:right w:val="nil"/>
            </w:tcBorders>
            <w:shd w:val="clear" w:color="auto" w:fill="FFFFFF"/>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112,8</w:t>
            </w:r>
          </w:p>
        </w:tc>
        <w:tc>
          <w:tcPr>
            <w:tcW w:w="941" w:type="dxa"/>
            <w:tcBorders>
              <w:top w:val="nil"/>
              <w:left w:val="single" w:sz="8" w:space="0" w:color="auto"/>
              <w:bottom w:val="single" w:sz="4" w:space="0" w:color="auto"/>
              <w:right w:val="single" w:sz="4" w:space="0" w:color="auto"/>
            </w:tcBorders>
            <w:shd w:val="clear" w:color="auto" w:fill="auto"/>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255.800,00</w:t>
            </w:r>
          </w:p>
        </w:tc>
        <w:tc>
          <w:tcPr>
            <w:tcW w:w="1960" w:type="dxa"/>
            <w:tcBorders>
              <w:top w:val="nil"/>
              <w:left w:val="nil"/>
              <w:bottom w:val="single" w:sz="4" w:space="0" w:color="auto"/>
              <w:right w:val="nil"/>
            </w:tcBorders>
            <w:shd w:val="clear" w:color="auto" w:fill="auto"/>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2.558,00</w:t>
            </w:r>
          </w:p>
        </w:tc>
        <w:tc>
          <w:tcPr>
            <w:tcW w:w="1041" w:type="dxa"/>
            <w:tcBorders>
              <w:top w:val="nil"/>
              <w:left w:val="single" w:sz="8" w:space="0" w:color="auto"/>
              <w:bottom w:val="single" w:sz="4" w:space="0" w:color="auto"/>
              <w:right w:val="single" w:sz="8" w:space="0" w:color="auto"/>
            </w:tcBorders>
            <w:shd w:val="clear" w:color="auto" w:fill="auto"/>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Diciembre</w:t>
            </w:r>
          </w:p>
        </w:tc>
        <w:tc>
          <w:tcPr>
            <w:tcW w:w="1185" w:type="dxa"/>
            <w:vMerge/>
            <w:tcBorders>
              <w:left w:val="nil"/>
              <w:bottom w:val="single" w:sz="4" w:space="0" w:color="auto"/>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r w:rsidR="00502D7C" w:rsidRPr="003C615C" w:rsidTr="00D30D74">
        <w:trPr>
          <w:trHeight w:val="270"/>
          <w:jc w:val="center"/>
        </w:trPr>
        <w:tc>
          <w:tcPr>
            <w:tcW w:w="585" w:type="dxa"/>
            <w:tcBorders>
              <w:top w:val="nil"/>
              <w:left w:val="single" w:sz="8" w:space="0" w:color="auto"/>
              <w:bottom w:val="single" w:sz="8" w:space="0" w:color="auto"/>
              <w:right w:val="nil"/>
            </w:tcBorders>
            <w:shd w:val="clear" w:color="auto" w:fill="CCFFCC"/>
            <w:noWrap/>
            <w:vAlign w:val="center"/>
          </w:tcPr>
          <w:p w:rsidR="00502D7C" w:rsidRPr="003C615C" w:rsidRDefault="00502D7C" w:rsidP="00D30D74">
            <w:pPr>
              <w:jc w:val="center"/>
              <w:rPr>
                <w:rFonts w:cs="Arial"/>
                <w:b/>
                <w:bCs/>
                <w:sz w:val="16"/>
                <w:szCs w:val="16"/>
              </w:rPr>
            </w:pPr>
            <w:r w:rsidRPr="003C615C">
              <w:rPr>
                <w:rFonts w:cs="Arial"/>
                <w:b/>
                <w:bCs/>
                <w:sz w:val="16"/>
                <w:szCs w:val="16"/>
              </w:rPr>
              <w:t>2010</w:t>
            </w:r>
          </w:p>
        </w:tc>
        <w:tc>
          <w:tcPr>
            <w:tcW w:w="360" w:type="dxa"/>
            <w:tcBorders>
              <w:top w:val="nil"/>
              <w:left w:val="single" w:sz="8" w:space="0" w:color="auto"/>
              <w:bottom w:val="single" w:sz="8" w:space="0" w:color="auto"/>
              <w:right w:val="single" w:sz="8" w:space="0" w:color="auto"/>
            </w:tcBorders>
            <w:shd w:val="clear" w:color="auto" w:fill="CCFFCC"/>
            <w:noWrap/>
            <w:vAlign w:val="center"/>
          </w:tcPr>
          <w:p w:rsidR="00502D7C" w:rsidRPr="003C615C" w:rsidRDefault="00502D7C" w:rsidP="00D30D74">
            <w:pPr>
              <w:jc w:val="center"/>
              <w:rPr>
                <w:rFonts w:cs="Arial"/>
                <w:b/>
                <w:bCs/>
                <w:color w:val="FF0000"/>
                <w:sz w:val="16"/>
                <w:szCs w:val="16"/>
              </w:rPr>
            </w:pPr>
            <w:r w:rsidRPr="003C615C">
              <w:rPr>
                <w:rFonts w:cs="Arial"/>
                <w:b/>
                <w:bCs/>
                <w:color w:val="FF0000"/>
                <w:sz w:val="16"/>
                <w:szCs w:val="16"/>
              </w:rPr>
              <w:t>I</w:t>
            </w:r>
          </w:p>
        </w:tc>
        <w:tc>
          <w:tcPr>
            <w:tcW w:w="2305" w:type="dxa"/>
            <w:tcBorders>
              <w:top w:val="nil"/>
              <w:left w:val="nil"/>
              <w:bottom w:val="single" w:sz="8" w:space="0" w:color="auto"/>
              <w:right w:val="nil"/>
            </w:tcBorders>
            <w:shd w:val="clear" w:color="auto" w:fill="FFFFFF"/>
            <w:noWrap/>
            <w:vAlign w:val="center"/>
          </w:tcPr>
          <w:p w:rsidR="00502D7C" w:rsidRPr="003C615C" w:rsidRDefault="00502D7C" w:rsidP="00D30D74">
            <w:pPr>
              <w:jc w:val="center"/>
              <w:rPr>
                <w:rFonts w:cs="Arial"/>
                <w:color w:val="FF0000"/>
                <w:sz w:val="16"/>
                <w:szCs w:val="16"/>
              </w:rPr>
            </w:pPr>
            <w:r w:rsidRPr="003C615C">
              <w:rPr>
                <w:rFonts w:cs="Arial"/>
                <w:color w:val="FF0000"/>
                <w:sz w:val="16"/>
                <w:szCs w:val="16"/>
              </w:rPr>
              <w:t>111,3</w:t>
            </w:r>
          </w:p>
        </w:tc>
        <w:tc>
          <w:tcPr>
            <w:tcW w:w="941" w:type="dxa"/>
            <w:tcBorders>
              <w:top w:val="nil"/>
              <w:left w:val="single" w:sz="8" w:space="0" w:color="auto"/>
              <w:bottom w:val="single" w:sz="8" w:space="0" w:color="auto"/>
              <w:right w:val="single" w:sz="4" w:space="0" w:color="auto"/>
            </w:tcBorders>
            <w:shd w:val="clear" w:color="auto" w:fill="auto"/>
            <w:noWrap/>
            <w:vAlign w:val="center"/>
          </w:tcPr>
          <w:p w:rsidR="00502D7C" w:rsidRPr="003C615C" w:rsidRDefault="00502D7C" w:rsidP="00D30D74">
            <w:pPr>
              <w:jc w:val="center"/>
              <w:rPr>
                <w:rFonts w:cs="Arial"/>
                <w:color w:val="FF0000"/>
                <w:sz w:val="16"/>
                <w:szCs w:val="16"/>
              </w:rPr>
            </w:pPr>
          </w:p>
        </w:tc>
        <w:tc>
          <w:tcPr>
            <w:tcW w:w="1960" w:type="dxa"/>
            <w:tcBorders>
              <w:top w:val="nil"/>
              <w:left w:val="nil"/>
              <w:bottom w:val="single" w:sz="8" w:space="0" w:color="auto"/>
              <w:right w:val="nil"/>
            </w:tcBorders>
            <w:shd w:val="clear" w:color="auto" w:fill="auto"/>
            <w:noWrap/>
            <w:vAlign w:val="center"/>
          </w:tcPr>
          <w:p w:rsidR="00502D7C" w:rsidRPr="003C615C" w:rsidRDefault="00502D7C" w:rsidP="00D30D74">
            <w:pPr>
              <w:jc w:val="center"/>
              <w:rPr>
                <w:rFonts w:cs="Arial"/>
                <w:color w:val="FF0000"/>
                <w:sz w:val="16"/>
                <w:szCs w:val="16"/>
              </w:rPr>
            </w:pPr>
          </w:p>
        </w:tc>
        <w:tc>
          <w:tcPr>
            <w:tcW w:w="1041" w:type="dxa"/>
            <w:tcBorders>
              <w:top w:val="nil"/>
              <w:left w:val="single" w:sz="8" w:space="0" w:color="auto"/>
              <w:bottom w:val="single" w:sz="8" w:space="0" w:color="auto"/>
              <w:right w:val="single" w:sz="8" w:space="0" w:color="auto"/>
            </w:tcBorders>
            <w:shd w:val="clear" w:color="auto" w:fill="auto"/>
            <w:noWrap/>
            <w:vAlign w:val="center"/>
          </w:tcPr>
          <w:p w:rsidR="00502D7C" w:rsidRPr="003C615C" w:rsidRDefault="00502D7C" w:rsidP="00D30D74">
            <w:pPr>
              <w:jc w:val="center"/>
              <w:rPr>
                <w:rFonts w:cs="Arial"/>
                <w:color w:val="FF0000"/>
                <w:sz w:val="16"/>
                <w:szCs w:val="16"/>
              </w:rPr>
            </w:pPr>
          </w:p>
        </w:tc>
        <w:tc>
          <w:tcPr>
            <w:tcW w:w="1185" w:type="dxa"/>
            <w:tcBorders>
              <w:top w:val="nil"/>
              <w:left w:val="nil"/>
              <w:bottom w:val="single" w:sz="8" w:space="0" w:color="auto"/>
              <w:right w:val="single" w:sz="8" w:space="0" w:color="auto"/>
            </w:tcBorders>
            <w:shd w:val="clear" w:color="auto" w:fill="FFFF99"/>
            <w:noWrap/>
            <w:vAlign w:val="center"/>
          </w:tcPr>
          <w:p w:rsidR="00502D7C" w:rsidRPr="003C615C" w:rsidRDefault="00502D7C" w:rsidP="00D30D74">
            <w:pPr>
              <w:jc w:val="center"/>
              <w:rPr>
                <w:rFonts w:cs="Arial"/>
                <w:b/>
                <w:bCs/>
                <w:sz w:val="16"/>
                <w:szCs w:val="16"/>
              </w:rPr>
            </w:pPr>
          </w:p>
        </w:tc>
      </w:tr>
    </w:tbl>
    <w:p w:rsidR="00502D7C" w:rsidRPr="00F37487" w:rsidRDefault="00502D7C" w:rsidP="00502D7C">
      <w:pPr>
        <w:jc w:val="center"/>
        <w:rPr>
          <w:b/>
          <w:sz w:val="20"/>
          <w:szCs w:val="22"/>
        </w:rPr>
      </w:pPr>
      <w:r w:rsidRPr="00F37487">
        <w:rPr>
          <w:b/>
          <w:sz w:val="20"/>
          <w:szCs w:val="22"/>
        </w:rPr>
        <w:t>Fuente: Ministerio de Vivienda y Sociedad de Tasadores</w:t>
      </w:r>
    </w:p>
    <w:p w:rsidR="00502D7C" w:rsidRDefault="00502D7C" w:rsidP="00502D7C">
      <w:pPr>
        <w:jc w:val="both"/>
      </w:pPr>
    </w:p>
    <w:p w:rsidR="00502D7C" w:rsidRDefault="00502D7C" w:rsidP="00502D7C">
      <w:pPr>
        <w:jc w:val="both"/>
      </w:pPr>
      <w:r>
        <w:t xml:space="preserve">Se observa que, independientemente de la fuente de medición, a partir del segundo trimestre de 2008 los precios de la vivienda comenzaron a reducirse, tendencia que ha seguido hasta el día de hoy. Estos datos permiten comprobar la reducción de riqueza de las familias propietarias. </w:t>
      </w:r>
    </w:p>
    <w:p w:rsidR="00502D7C" w:rsidRDefault="00502D7C" w:rsidP="00502D7C">
      <w:pPr>
        <w:jc w:val="both"/>
      </w:pPr>
    </w:p>
    <w:p w:rsidR="00502D7C" w:rsidRDefault="00F37487" w:rsidP="00F37487">
      <w:pPr>
        <w:jc w:val="both"/>
      </w:pPr>
      <w:r>
        <w:t>A la hora de analizar cómo influye la caída del precio de la vivienda en la riqueza familiar, resulta conveniente conocer el esfuerzo que realizan las familias a la hora de adquirir una vivienda en propiedad. Junto a este indicador, resulta especialmente interesante la ratio precio vivienda /renta de los hogares</w:t>
      </w:r>
      <w:r w:rsidR="009D691D">
        <w:t>.</w:t>
      </w:r>
    </w:p>
    <w:p w:rsidR="009D691D" w:rsidRDefault="009D691D" w:rsidP="00F37487">
      <w:pPr>
        <w:jc w:val="both"/>
      </w:pPr>
    </w:p>
    <w:p w:rsidR="009D691D" w:rsidRDefault="009D691D" w:rsidP="00F37487">
      <w:pPr>
        <w:jc w:val="both"/>
      </w:pPr>
    </w:p>
    <w:p w:rsidR="009D691D" w:rsidRDefault="009D691D" w:rsidP="00F37487">
      <w:pPr>
        <w:jc w:val="both"/>
      </w:pPr>
    </w:p>
    <w:p w:rsidR="009D691D" w:rsidRDefault="009D691D" w:rsidP="00F37487">
      <w:pPr>
        <w:jc w:val="both"/>
      </w:pPr>
    </w:p>
    <w:p w:rsidR="009D691D" w:rsidRDefault="009D691D" w:rsidP="00F37487">
      <w:pPr>
        <w:jc w:val="both"/>
      </w:pPr>
    </w:p>
    <w:p w:rsidR="009D691D" w:rsidRDefault="009D691D" w:rsidP="00F37487">
      <w:pPr>
        <w:jc w:val="both"/>
      </w:pPr>
    </w:p>
    <w:p w:rsidR="009D691D" w:rsidRDefault="009D691D" w:rsidP="00F37487">
      <w:pPr>
        <w:jc w:val="both"/>
      </w:pPr>
    </w:p>
    <w:p w:rsidR="009D691D" w:rsidRDefault="009D691D" w:rsidP="00F37487">
      <w:pPr>
        <w:jc w:val="both"/>
      </w:pPr>
    </w:p>
    <w:p w:rsidR="009D691D" w:rsidRDefault="009D691D" w:rsidP="00F37487">
      <w:pPr>
        <w:jc w:val="both"/>
      </w:pPr>
    </w:p>
    <w:p w:rsidR="009D691D" w:rsidRDefault="009D691D" w:rsidP="00F37487">
      <w:pPr>
        <w:jc w:val="both"/>
      </w:pPr>
    </w:p>
    <w:p w:rsidR="009D691D" w:rsidRDefault="009D691D" w:rsidP="00F37487">
      <w:pPr>
        <w:jc w:val="both"/>
      </w:pPr>
    </w:p>
    <w:p w:rsidR="00502D7C" w:rsidRDefault="00502D7C" w:rsidP="00502D7C"/>
    <w:p w:rsidR="00502D7C" w:rsidRPr="00CE2ECE" w:rsidRDefault="00502D7C" w:rsidP="00502D7C">
      <w:pPr>
        <w:jc w:val="center"/>
        <w:rPr>
          <w:b/>
        </w:rPr>
      </w:pPr>
      <w:r w:rsidRPr="00CE2ECE">
        <w:rPr>
          <w:b/>
        </w:rPr>
        <w:lastRenderedPageBreak/>
        <w:t>Gráfico</w:t>
      </w:r>
      <w:r>
        <w:rPr>
          <w:b/>
        </w:rPr>
        <w:t xml:space="preserve"> </w:t>
      </w:r>
      <w:r w:rsidR="00F37487">
        <w:rPr>
          <w:b/>
        </w:rPr>
        <w:t>7</w:t>
      </w:r>
      <w:r>
        <w:rPr>
          <w:b/>
        </w:rPr>
        <w:t>.</w:t>
      </w:r>
      <w:r w:rsidRPr="00CE2ECE">
        <w:rPr>
          <w:b/>
        </w:rPr>
        <w:t xml:space="preserve"> </w:t>
      </w:r>
      <w:r w:rsidR="00F37487">
        <w:rPr>
          <w:b/>
        </w:rPr>
        <w:t>Medidas del esfuerzo para adquirir vivienda (2000-2010)</w:t>
      </w:r>
    </w:p>
    <w:p w:rsidR="00502D7C" w:rsidRPr="00DC6450" w:rsidRDefault="009D691D" w:rsidP="00502D7C">
      <w:pPr>
        <w:jc w:val="both"/>
      </w:pPr>
      <w:r>
        <w:rPr>
          <w:noProof/>
          <w:lang w:val="es-ES_tradnl" w:eastAsia="es-ES_tradnl"/>
        </w:rPr>
        <w:drawing>
          <wp:inline distT="0" distB="0" distL="0" distR="0" wp14:anchorId="6F787B1D" wp14:editId="7C17F527">
            <wp:extent cx="5181600" cy="20859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a:extLst>
                        <a:ext uri="{28A0092B-C50C-407E-A947-70E740481C1C}">
                          <a14:useLocalDpi xmlns:a14="http://schemas.microsoft.com/office/drawing/2010/main" val="0"/>
                        </a:ext>
                      </a:extLst>
                    </a:blip>
                    <a:srcRect l="1077" t="2575" r="1210" b="3434"/>
                    <a:stretch/>
                  </pic:blipFill>
                  <pic:spPr bwMode="auto">
                    <a:xfrm>
                      <a:off x="0" y="0"/>
                      <a:ext cx="5182773" cy="2086447"/>
                    </a:xfrm>
                    <a:prstGeom prst="rect">
                      <a:avLst/>
                    </a:prstGeom>
                    <a:noFill/>
                    <a:ln>
                      <a:noFill/>
                    </a:ln>
                    <a:extLst>
                      <a:ext uri="{53640926-AAD7-44D8-BBD7-CCE9431645EC}">
                        <a14:shadowObscured xmlns:a14="http://schemas.microsoft.com/office/drawing/2010/main"/>
                      </a:ext>
                    </a:extLst>
                  </pic:spPr>
                </pic:pic>
              </a:graphicData>
            </a:graphic>
          </wp:inline>
        </w:drawing>
      </w:r>
    </w:p>
    <w:p w:rsidR="00502D7C" w:rsidRPr="00F37487" w:rsidRDefault="00502D7C" w:rsidP="00502D7C">
      <w:pPr>
        <w:jc w:val="center"/>
        <w:rPr>
          <w:b/>
          <w:sz w:val="20"/>
          <w:szCs w:val="22"/>
        </w:rPr>
      </w:pPr>
      <w:r w:rsidRPr="00F37487">
        <w:rPr>
          <w:b/>
          <w:sz w:val="20"/>
          <w:szCs w:val="22"/>
        </w:rPr>
        <w:t>* Los datos de 2010 se refieren a marzo.</w:t>
      </w:r>
    </w:p>
    <w:p w:rsidR="00502D7C" w:rsidRDefault="00502D7C" w:rsidP="00502D7C">
      <w:pPr>
        <w:jc w:val="center"/>
        <w:rPr>
          <w:b/>
          <w:sz w:val="20"/>
          <w:szCs w:val="22"/>
        </w:rPr>
      </w:pPr>
      <w:r w:rsidRPr="00F37487">
        <w:rPr>
          <w:b/>
          <w:sz w:val="20"/>
          <w:szCs w:val="22"/>
        </w:rPr>
        <w:t>Fuente: Elaboración propia. Datos del Banco de España</w:t>
      </w:r>
    </w:p>
    <w:p w:rsidR="00754998" w:rsidRDefault="00754998" w:rsidP="00502D7C">
      <w:pPr>
        <w:jc w:val="center"/>
        <w:rPr>
          <w:szCs w:val="22"/>
        </w:rPr>
      </w:pPr>
    </w:p>
    <w:p w:rsidR="00502D7C" w:rsidRDefault="009D691D" w:rsidP="00502D7C">
      <w:pPr>
        <w:jc w:val="both"/>
      </w:pPr>
      <w:r>
        <w:t>Como se aprecia en el gráfico 7,</w:t>
      </w:r>
      <w:r w:rsidR="00502D7C">
        <w:t xml:space="preserve"> desde 2008 las familias han visto reducido su esfuerzo en la adquisición de la vivienda, debido principalmente a la disminución del precio de los inmuebles visto. Sin embargo, la tendencia decreciente se ha visto reducida en 2009 y en los primeros meses de 2010, de forma que prácticamente se ha vuelto una tendencia constante, siendo ligeramente decreciente. Hay que destacar que la carga de la vivienda sobre la renta bruta por hogar se ha reducido aproximadamente un punto porcentual, lo que es significativo de la carga que aun soportan las familias a pesar de la reducción del precio, que alcanza aproximadamente el 7% cuando la carga histórica ha sido del 3, 4 o 5% (Montalvo, 2009). Por ello, el ahorro ha sido fundamental en estos años para poder soportar una carga que no se ha reducido drásticamente, debido a la contracción en el crédito por parte de las entidades financieras. </w:t>
      </w:r>
    </w:p>
    <w:p w:rsidR="00502D7C" w:rsidRDefault="00502D7C" w:rsidP="00502D7C"/>
    <w:p w:rsidR="00712A7C" w:rsidRDefault="00712A7C" w:rsidP="00502D7C"/>
    <w:p w:rsidR="008136AB" w:rsidRDefault="008136AB" w:rsidP="00331C39">
      <w:pPr>
        <w:pStyle w:val="Ttulo2"/>
        <w:numPr>
          <w:ilvl w:val="1"/>
          <w:numId w:val="18"/>
        </w:numPr>
      </w:pPr>
      <w:bookmarkStart w:id="9" w:name="_Toc291939261"/>
      <w:r w:rsidRPr="00016950">
        <w:t>LA EVOLUCIÓN DE LA RENTA DISPONIBLE BRUTA DE LOS HOGARES</w:t>
      </w:r>
      <w:bookmarkEnd w:id="9"/>
    </w:p>
    <w:p w:rsidR="00F27E15" w:rsidRDefault="00F27E15" w:rsidP="00F27E15">
      <w:pPr>
        <w:pStyle w:val="Ttulo2"/>
        <w:ind w:left="708"/>
        <w:rPr>
          <w:rFonts w:ascii="Arial" w:eastAsia="Times New Roman" w:hAnsi="Arial" w:cs="Times New Roman"/>
          <w:bCs w:val="0"/>
          <w:color w:val="auto"/>
          <w:sz w:val="22"/>
          <w:szCs w:val="24"/>
        </w:rPr>
      </w:pPr>
    </w:p>
    <w:p w:rsidR="00502D7C" w:rsidRDefault="00D5128C" w:rsidP="00502D7C">
      <w:pPr>
        <w:jc w:val="both"/>
      </w:pPr>
      <w:r>
        <w:t xml:space="preserve">La Renta Disponible Bruta se ha visto ligeramente incrementada en los últimos años, lo que ha permitido a la tasa de ahorro de los hogares crecer a un ritmo menor al que lo habría hecho de mantenerse la renta disponible bruta constante o incluso decrecer. </w:t>
      </w:r>
      <w:r w:rsidR="00502D7C">
        <w:t xml:space="preserve">La Contabilidad Nacional define la </w:t>
      </w:r>
      <w:r>
        <w:t xml:space="preserve">Renta Disponible Bruta </w:t>
      </w:r>
      <w:r w:rsidR="00502D7C">
        <w:t>de la siguiente manera:</w:t>
      </w:r>
    </w:p>
    <w:p w:rsidR="00502D7C" w:rsidRDefault="00502D7C" w:rsidP="00502D7C">
      <w:pPr>
        <w:jc w:val="both"/>
      </w:pPr>
    </w:p>
    <w:p w:rsidR="00502D7C" w:rsidRDefault="00EB774E" w:rsidP="00502D7C">
      <w:pPr>
        <w:jc w:val="both"/>
      </w:pPr>
      <w:r w:rsidRPr="00952876">
        <w:rPr>
          <w:position w:val="-10"/>
        </w:rPr>
        <w:object w:dxaOrig="6880" w:dyaOrig="320">
          <v:shape id="_x0000_i1026" type="#_x0000_t75" style="width:344.25pt;height:15.75pt" o:ole="">
            <v:imagedata r:id="rId17" o:title=""/>
          </v:shape>
          <o:OLEObject Type="Embed" ProgID="Equation.3" ShapeID="_x0000_i1026" DrawAspect="Content" ObjectID="_1367993810" r:id="rId18"/>
        </w:object>
      </w:r>
    </w:p>
    <w:p w:rsidR="00502D7C" w:rsidRDefault="00502D7C" w:rsidP="00502D7C">
      <w:pPr>
        <w:jc w:val="both"/>
      </w:pPr>
      <w:r w:rsidRPr="00504AD4">
        <w:rPr>
          <w:position w:val="-10"/>
        </w:rPr>
        <w:object w:dxaOrig="8559" w:dyaOrig="320">
          <v:shape id="_x0000_i1027" type="#_x0000_t75" style="width:428.25pt;height:15.75pt" o:ole="">
            <v:imagedata r:id="rId19" o:title=""/>
          </v:shape>
          <o:OLEObject Type="Embed" ProgID="Equation.3" ShapeID="_x0000_i1027" DrawAspect="Content" ObjectID="_1367993811" r:id="rId20"/>
        </w:object>
      </w:r>
      <w:r w:rsidRPr="00504AD4">
        <w:rPr>
          <w:position w:val="-10"/>
        </w:rPr>
        <w:object w:dxaOrig="3660" w:dyaOrig="320">
          <v:shape id="_x0000_i1028" type="#_x0000_t75" style="width:181.5pt;height:15.75pt" o:ole="">
            <v:imagedata r:id="rId21" o:title=""/>
          </v:shape>
          <o:OLEObject Type="Embed" ProgID="Equation.3" ShapeID="_x0000_i1028" DrawAspect="Content" ObjectID="_1367993812" r:id="rId22"/>
        </w:object>
      </w:r>
    </w:p>
    <w:p w:rsidR="00502D7C" w:rsidRDefault="00502D7C" w:rsidP="00502D7C"/>
    <w:p w:rsidR="00DA4632" w:rsidRDefault="00D5128C" w:rsidP="00B613E5">
      <w:pPr>
        <w:jc w:val="both"/>
      </w:pPr>
      <w:r>
        <w:t xml:space="preserve">Por tanto, para entender el porqué de esta evolución se debe conocer cuáles de los factores determinantes de esta magnitud han provocado su crecimiento. En el gráfico 8 se puede apreciar la evolución de los componentes de los ingresos familiares, observándose que durante la crisis económica el componente que más ha crecido </w:t>
      </w:r>
      <w:r w:rsidR="00B613E5">
        <w:t>han</w:t>
      </w:r>
      <w:r>
        <w:t xml:space="preserve"> sido las transferencias corrientes del Estado, sufriendo tanto la remuneración de asalariados como las rentas no salariales netas un decrecimiento</w:t>
      </w:r>
      <w:r w:rsidR="00450754">
        <w:t xml:space="preserve"> durante los últimos años, debido en parte al incremento del desempleo y a las menores rentas de inversión.</w:t>
      </w:r>
    </w:p>
    <w:p w:rsidR="00712A7C" w:rsidRDefault="00712A7C" w:rsidP="00B613E5">
      <w:pPr>
        <w:jc w:val="both"/>
      </w:pPr>
    </w:p>
    <w:p w:rsidR="00502D7C" w:rsidRPr="00CE2ECE" w:rsidRDefault="00502D7C" w:rsidP="00502D7C">
      <w:pPr>
        <w:jc w:val="center"/>
        <w:rPr>
          <w:b/>
        </w:rPr>
      </w:pPr>
      <w:r w:rsidRPr="00CE2ECE">
        <w:rPr>
          <w:b/>
        </w:rPr>
        <w:lastRenderedPageBreak/>
        <w:t>Gráfico</w:t>
      </w:r>
      <w:r>
        <w:rPr>
          <w:b/>
        </w:rPr>
        <w:t xml:space="preserve"> </w:t>
      </w:r>
      <w:r w:rsidR="008554B8">
        <w:rPr>
          <w:b/>
        </w:rPr>
        <w:t>8</w:t>
      </w:r>
      <w:r w:rsidRPr="00CE2ECE">
        <w:rPr>
          <w:b/>
        </w:rPr>
        <w:t>.</w:t>
      </w:r>
      <w:r w:rsidR="008554B8">
        <w:rPr>
          <w:b/>
        </w:rPr>
        <w:t xml:space="preserve"> Evolución</w:t>
      </w:r>
      <w:r w:rsidR="00B613E5">
        <w:rPr>
          <w:b/>
        </w:rPr>
        <w:t xml:space="preserve"> de los componentes de los ingresos</w:t>
      </w:r>
      <w:r w:rsidRPr="00CE2ECE">
        <w:rPr>
          <w:b/>
        </w:rPr>
        <w:t xml:space="preserve"> </w:t>
      </w:r>
      <w:r w:rsidR="00B613E5">
        <w:rPr>
          <w:b/>
        </w:rPr>
        <w:t xml:space="preserve"> familiares (2002=100)</w:t>
      </w:r>
    </w:p>
    <w:p w:rsidR="00502D7C" w:rsidRPr="00BD5C49" w:rsidRDefault="00502D7C" w:rsidP="00502D7C">
      <w:pPr>
        <w:jc w:val="both"/>
      </w:pPr>
      <w:r>
        <w:rPr>
          <w:noProof/>
          <w:lang w:val="es-ES_tradnl" w:eastAsia="es-ES_tradnl"/>
        </w:rPr>
        <w:drawing>
          <wp:inline distT="0" distB="0" distL="0" distR="0" wp14:anchorId="3E24CF7B" wp14:editId="25387455">
            <wp:extent cx="5448300" cy="19335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a:extLst>
                        <a:ext uri="{28A0092B-C50C-407E-A947-70E740481C1C}">
                          <a14:useLocalDpi xmlns:a14="http://schemas.microsoft.com/office/drawing/2010/main" val="0"/>
                        </a:ext>
                      </a:extLst>
                    </a:blip>
                    <a:srcRect l="2993" t="16996" r="1749" b="2767"/>
                    <a:stretch/>
                  </pic:blipFill>
                  <pic:spPr bwMode="auto">
                    <a:xfrm>
                      <a:off x="0" y="0"/>
                      <a:ext cx="5448300" cy="1933575"/>
                    </a:xfrm>
                    <a:prstGeom prst="rect">
                      <a:avLst/>
                    </a:prstGeom>
                    <a:noFill/>
                    <a:ln>
                      <a:noFill/>
                    </a:ln>
                    <a:extLst>
                      <a:ext uri="{53640926-AAD7-44D8-BBD7-CCE9431645EC}">
                        <a14:shadowObscured xmlns:a14="http://schemas.microsoft.com/office/drawing/2010/main"/>
                      </a:ext>
                    </a:extLst>
                  </pic:spPr>
                </pic:pic>
              </a:graphicData>
            </a:graphic>
          </wp:inline>
        </w:drawing>
      </w:r>
    </w:p>
    <w:p w:rsidR="00502D7C" w:rsidRDefault="00502D7C" w:rsidP="00502D7C">
      <w:pPr>
        <w:jc w:val="center"/>
        <w:rPr>
          <w:b/>
          <w:sz w:val="20"/>
          <w:szCs w:val="22"/>
        </w:rPr>
      </w:pPr>
      <w:r w:rsidRPr="00B613E5">
        <w:rPr>
          <w:b/>
          <w:sz w:val="20"/>
        </w:rPr>
        <w:t xml:space="preserve"> </w:t>
      </w:r>
      <w:r w:rsidRPr="00B613E5">
        <w:rPr>
          <w:b/>
          <w:sz w:val="20"/>
          <w:szCs w:val="22"/>
        </w:rPr>
        <w:t>Fuente: Elaboración propia. Datos de Cuentas Trimestrales no financieras de sectores (INE)</w:t>
      </w:r>
    </w:p>
    <w:p w:rsidR="00B613E5" w:rsidRDefault="00B613E5" w:rsidP="00502D7C">
      <w:pPr>
        <w:jc w:val="center"/>
        <w:rPr>
          <w:b/>
          <w:sz w:val="20"/>
          <w:szCs w:val="22"/>
        </w:rPr>
      </w:pPr>
    </w:p>
    <w:p w:rsidR="00B613E5" w:rsidRPr="00B613E5" w:rsidRDefault="00B613E5" w:rsidP="00502D7C">
      <w:pPr>
        <w:jc w:val="center"/>
        <w:rPr>
          <w:b/>
          <w:sz w:val="20"/>
          <w:szCs w:val="22"/>
        </w:rPr>
      </w:pPr>
    </w:p>
    <w:p w:rsidR="00B613E5" w:rsidRDefault="00B613E5" w:rsidP="00331C39">
      <w:pPr>
        <w:pStyle w:val="Ttulo3"/>
        <w:numPr>
          <w:ilvl w:val="2"/>
          <w:numId w:val="18"/>
        </w:numPr>
      </w:pPr>
      <w:bookmarkStart w:id="10" w:name="_Toc291939262"/>
      <w:r>
        <w:t>Políticas Públicas de transferencias corrientes</w:t>
      </w:r>
      <w:bookmarkEnd w:id="10"/>
    </w:p>
    <w:p w:rsidR="00331C39" w:rsidRPr="00331C39" w:rsidRDefault="00331C39" w:rsidP="00331C39">
      <w:pPr>
        <w:pStyle w:val="Prrafodelista"/>
        <w:ind w:left="720"/>
      </w:pPr>
    </w:p>
    <w:p w:rsidR="00502D7C" w:rsidRDefault="00502D7C" w:rsidP="00502D7C"/>
    <w:p w:rsidR="00DA4632" w:rsidRDefault="00DA4632" w:rsidP="00DA4632">
      <w:pPr>
        <w:jc w:val="both"/>
      </w:pPr>
      <w:r>
        <w:t xml:space="preserve">Esta evolución </w:t>
      </w:r>
      <w:r w:rsidR="00450754">
        <w:t xml:space="preserve">de las transferencias corrientes </w:t>
      </w:r>
      <w:r>
        <w:t xml:space="preserve">se explica por la política económica llevada a cabo durante la crisis. Las medidas dirigidas a los hogares se han basado principalmente en estímulos fiscales y en medidas de apoyo a la adquisición de vivienda, de modo que se </w:t>
      </w:r>
      <w:r w:rsidR="000C2A81">
        <w:t>ha buscado</w:t>
      </w:r>
      <w:r>
        <w:t xml:space="preserve"> aumentar la renta disponible y amortiguar, dentro de lo posible, el impacto negativo sobre los ingresos familiares que tiene la crisis, especialmente a través del desempleo. Por tanto, se busca estimular o al menos evitar una mayor contracción del consumo de los hogares (Cauces, 2010). En particular, las actuaciones llevadas a cabo han sido las siguientes (Cauces, 2010):</w:t>
      </w:r>
    </w:p>
    <w:p w:rsidR="00DA4632" w:rsidRDefault="00DA4632" w:rsidP="00DA4632">
      <w:pPr>
        <w:jc w:val="both"/>
      </w:pPr>
    </w:p>
    <w:p w:rsidR="00DA4632" w:rsidRDefault="00DA4632" w:rsidP="00DA4632">
      <w:pPr>
        <w:numPr>
          <w:ilvl w:val="0"/>
          <w:numId w:val="11"/>
        </w:numPr>
        <w:jc w:val="both"/>
      </w:pPr>
      <w:r>
        <w:t xml:space="preserve">Deducción de 400 euros en el IRPF. Aplicada en 2009 a todos los contribuyentes. A partir de 2010 se aplica a trabajadores por cuenta ajena, autónomos y pensionistas cuya base imponible sea inferior a 8.000 euros anuales, y parcialmente a aquellos con base imponible entre 8 y 12.000 euros. </w:t>
      </w:r>
    </w:p>
    <w:p w:rsidR="00DA4632" w:rsidRDefault="00DA4632" w:rsidP="00DA4632">
      <w:pPr>
        <w:numPr>
          <w:ilvl w:val="0"/>
          <w:numId w:val="11"/>
        </w:numPr>
        <w:jc w:val="both"/>
      </w:pPr>
      <w:r>
        <w:t xml:space="preserve">Moratoria parcial de las cuotas hipotecarias. Se </w:t>
      </w:r>
      <w:r w:rsidR="000C2A81">
        <w:t>pueden</w:t>
      </w:r>
      <w:r>
        <w:t xml:space="preserve"> acoger los trabajadores por cuenta ajena desempleados que cumplen una serie de requisitos: los trabajadores por cuenta ajena que hayan cesado en su actividad o con un determinado nivel de ingresos, pero bajo determinadas circunstancias; y los pensionistas de viudedad por fallecimiento ocurrido una vez concertado el préstamo hipotecario.</w:t>
      </w:r>
    </w:p>
    <w:p w:rsidR="00DA4632" w:rsidRDefault="00DA4632" w:rsidP="00DA4632">
      <w:pPr>
        <w:numPr>
          <w:ilvl w:val="0"/>
          <w:numId w:val="11"/>
        </w:numPr>
        <w:jc w:val="both"/>
      </w:pPr>
      <w:r>
        <w:t>Ampliación del plazo para materializar, a cuenta ahorro-vivienda. Las cantidades en cuentas viviendas, que por la finalización del plazo debieran destinarse a la primera adquisición o rehabilitación de la vivienda habitual entre el 1-1-2008y el 30-12-2010, podrán hacerlo hasta el 31-12-2010.</w:t>
      </w:r>
    </w:p>
    <w:p w:rsidR="00DA4632" w:rsidRDefault="00DA4632" w:rsidP="00DA4632">
      <w:pPr>
        <w:numPr>
          <w:ilvl w:val="0"/>
          <w:numId w:val="11"/>
        </w:numPr>
        <w:jc w:val="both"/>
      </w:pPr>
      <w:r>
        <w:t>Ampliación de los plazos de los préstamos hipotecarios sin coste alguno durante dos años.</w:t>
      </w:r>
    </w:p>
    <w:p w:rsidR="00DA4632" w:rsidRDefault="00DA4632" w:rsidP="00DA4632">
      <w:pPr>
        <w:numPr>
          <w:ilvl w:val="0"/>
          <w:numId w:val="11"/>
        </w:numPr>
        <w:jc w:val="both"/>
      </w:pPr>
      <w:r>
        <w:t>Anticipo de los plazos de los préstamos hipotecarios sin coste alguno durante dos años.</w:t>
      </w:r>
    </w:p>
    <w:p w:rsidR="00DA4632" w:rsidRDefault="00DA4632" w:rsidP="00DA4632">
      <w:pPr>
        <w:numPr>
          <w:ilvl w:val="0"/>
          <w:numId w:val="11"/>
        </w:numPr>
        <w:jc w:val="both"/>
      </w:pPr>
      <w:r>
        <w:t>Anticipo de la deducción por vivienda habitual, reduciéndose en dos puntos las retenciones de los contribuyentes que así lo solicite.</w:t>
      </w:r>
    </w:p>
    <w:p w:rsidR="00DA4632" w:rsidRDefault="00DA4632" w:rsidP="00DA4632">
      <w:pPr>
        <w:numPr>
          <w:ilvl w:val="0"/>
          <w:numId w:val="11"/>
        </w:numPr>
        <w:jc w:val="both"/>
      </w:pPr>
      <w:r>
        <w:t>Ampliación del plazo de dos años para transmitir la vivienda habitual a efectos de la exención por reinversión. Para las compra-ventas realizadas durante 2006, 2007 ó 2008 el plazo de exención fiscal por reinversión se ampliará hasta el 31 de diciembre de 2010.</w:t>
      </w:r>
    </w:p>
    <w:p w:rsidR="00DA4632" w:rsidRDefault="00DA4632" w:rsidP="00DA4632">
      <w:pPr>
        <w:numPr>
          <w:ilvl w:val="0"/>
          <w:numId w:val="11"/>
        </w:numPr>
        <w:jc w:val="both"/>
      </w:pPr>
      <w:r>
        <w:lastRenderedPageBreak/>
        <w:t xml:space="preserve">Línea de garantías del Estado para facilitar el acceso a las hipotecas en la compra de vivienda protegida. Compartirá el 50% del riesgo de los nuevos préstamos que se concedan a las familias para la compra de viviendas protegidas. La garantía estará gestionada por el ICO. </w:t>
      </w:r>
    </w:p>
    <w:p w:rsidR="00DA4632" w:rsidRDefault="00DA4632" w:rsidP="00DA4632">
      <w:pPr>
        <w:jc w:val="both"/>
      </w:pPr>
    </w:p>
    <w:p w:rsidR="00DA4632" w:rsidRDefault="00DA4632" w:rsidP="00DA4632">
      <w:pPr>
        <w:jc w:val="both"/>
      </w:pPr>
      <w:r>
        <w:t>Sin embargo, hay que señalar que estas son las medidas con las que se ha intentado estimular el consumo. Debido a los problemas de España con la deuda y el déficit, está siendo necesarias nuevas reformas que afectan también a las familias, aunque más negativamente. Siguiendo lo establecido en el Boletín Oficial del Estado del lunes 24 de mayo de 2010 (número 126, Pp. 45070-45128), las medidas que afectan a las familias son las siguientes:</w:t>
      </w:r>
    </w:p>
    <w:p w:rsidR="00DA4632" w:rsidRDefault="00DA4632" w:rsidP="00DA4632">
      <w:pPr>
        <w:jc w:val="both"/>
      </w:pPr>
      <w:r>
        <w:t xml:space="preserve"> </w:t>
      </w:r>
    </w:p>
    <w:p w:rsidR="00DA4632" w:rsidRDefault="00DA4632" w:rsidP="00DA4632">
      <w:pPr>
        <w:numPr>
          <w:ilvl w:val="0"/>
          <w:numId w:val="12"/>
        </w:numPr>
        <w:jc w:val="both"/>
      </w:pPr>
      <w:r>
        <w:t>Reducción de las retribuciones del personal del sector público en un 5% de media en 2010 y congelación en 2011. Esta rebaja será proporcional a los ingresos.</w:t>
      </w:r>
    </w:p>
    <w:p w:rsidR="00DA4632" w:rsidRDefault="00DA4632" w:rsidP="00DA4632">
      <w:pPr>
        <w:numPr>
          <w:ilvl w:val="0"/>
          <w:numId w:val="12"/>
        </w:numPr>
        <w:jc w:val="both"/>
      </w:pPr>
      <w:r>
        <w:t>Suspensión para 2011 de la revaloración de las pensiones. Esta medida excluye las pensiones no contributivas y las mínimas.</w:t>
      </w:r>
    </w:p>
    <w:p w:rsidR="00DA4632" w:rsidRDefault="00DA4632" w:rsidP="00DA4632">
      <w:pPr>
        <w:numPr>
          <w:ilvl w:val="0"/>
          <w:numId w:val="12"/>
        </w:numPr>
        <w:jc w:val="both"/>
      </w:pPr>
      <w:r>
        <w:t>Eliminación del régimen transitorio para la jubilación parcial previsto en la ley 40/2007 de 4 de diciembre de medidas en materia de Seguridad Social</w:t>
      </w:r>
    </w:p>
    <w:p w:rsidR="00DA4632" w:rsidRDefault="00DA4632" w:rsidP="00DA4632">
      <w:pPr>
        <w:numPr>
          <w:ilvl w:val="0"/>
          <w:numId w:val="12"/>
        </w:numPr>
        <w:jc w:val="both"/>
      </w:pPr>
      <w:r>
        <w:t xml:space="preserve">Eliminación del conocido como “cheque bebé”, es decir, la prestación por nacimiento o adopción  de 2.500 euros a partir del 1 de enero de 2011. </w:t>
      </w:r>
    </w:p>
    <w:p w:rsidR="00DA4632" w:rsidRDefault="00DA4632" w:rsidP="00DA4632">
      <w:pPr>
        <w:jc w:val="both"/>
      </w:pPr>
    </w:p>
    <w:p w:rsidR="00DA4632" w:rsidRDefault="00DA4632" w:rsidP="00DA4632">
      <w:pPr>
        <w:jc w:val="both"/>
      </w:pPr>
      <w:r>
        <w:t>Estas medidas tomadas para reducir el gasto público tendrán un efecto de disminución de la renta disponible</w:t>
      </w:r>
      <w:r w:rsidR="000C2A81">
        <w:t xml:space="preserve"> bruta</w:t>
      </w:r>
      <w:r>
        <w:t xml:space="preserve">, lo que </w:t>
      </w:r>
      <w:r w:rsidR="000C2A81">
        <w:t>aumentará</w:t>
      </w:r>
      <w:r>
        <w:t xml:space="preserve"> la tasa de ahorro si se tiene en cuen</w:t>
      </w:r>
      <w:r w:rsidR="00C44829">
        <w:t xml:space="preserve">ta el denominador. Sin embargo, </w:t>
      </w:r>
      <w:r>
        <w:t xml:space="preserve">ante estas perspectivas, podría existir un incremento del ahorro bruto debido a prevención. </w:t>
      </w:r>
    </w:p>
    <w:p w:rsidR="00502D7C" w:rsidRDefault="00C446F4" w:rsidP="00331C39">
      <w:pPr>
        <w:pStyle w:val="Ttulo3"/>
        <w:numPr>
          <w:ilvl w:val="2"/>
          <w:numId w:val="18"/>
        </w:numPr>
      </w:pPr>
      <w:bookmarkStart w:id="11" w:name="_Toc291939263"/>
      <w:r>
        <w:t>La inflación</w:t>
      </w:r>
      <w:bookmarkEnd w:id="11"/>
    </w:p>
    <w:p w:rsidR="00DA4632" w:rsidRDefault="00DA4632" w:rsidP="00502D7C"/>
    <w:p w:rsidR="00C446F4" w:rsidRDefault="00D77EEC" w:rsidP="00C446F4">
      <w:pPr>
        <w:jc w:val="both"/>
      </w:pPr>
      <w:r>
        <w:t>La inflación supone una pérdida del valor del dinero en el tiempo que conlleva, por tanto, la pérdida del poder adquisitivo de las personas. Desde la perspectiva de la tasa de ahorro de los hogares, y particularmente, en lo que respecta a la renta disponible bruta, l</w:t>
      </w:r>
      <w:r w:rsidR="00C446F4">
        <w:t xml:space="preserve">a inflación tiene diversos efectos. Por un lado, su significado de incertidumbre implica que las familias pueden aumentar sus niveles de ahorro por motivo de prevención. Sin embargo, también tiene influencia en el sentido de que la pérdida de valor adquisitivo puede reducir la renta disponible </w:t>
      </w:r>
      <w:r>
        <w:t xml:space="preserve">bruta </w:t>
      </w:r>
      <w:r w:rsidR="00C446F4">
        <w:t xml:space="preserve">si no se incrementan las magnitudes que lo forman como mínimo para compensar el coste de la vida. Raymond (1997) considera que un aumento de la inflación tiene un efecto depresivo sobre el ahorro en a medida que se la puede considerar como un factor que genera incertidumbre sobre el rendimiento del ahorro. De esta forma, la teoría no aclara el efecto de la inflación sobre el ahorro, cuestión que no es aclarada tampoco por la evidencia empírica (Guiso, </w:t>
      </w:r>
      <w:proofErr w:type="spellStart"/>
      <w:r w:rsidR="00C446F4">
        <w:t>Japelli</w:t>
      </w:r>
      <w:proofErr w:type="spellEnd"/>
      <w:r w:rsidR="00C446F4">
        <w:t xml:space="preserve"> y </w:t>
      </w:r>
      <w:proofErr w:type="spellStart"/>
      <w:r w:rsidR="00C446F4">
        <w:t>Terlizzese</w:t>
      </w:r>
      <w:proofErr w:type="spellEnd"/>
      <w:r w:rsidR="00C446F4">
        <w:t xml:space="preserve">, 1992; </w:t>
      </w:r>
      <w:proofErr w:type="spellStart"/>
      <w:r w:rsidR="00C446F4">
        <w:t>Carrol</w:t>
      </w:r>
      <w:proofErr w:type="spellEnd"/>
      <w:r w:rsidR="00C446F4">
        <w:t xml:space="preserve">, 1995). A pesar de estos resultados, existe acuerdo para considerar la inflación como un factor explicativo de la evolución del ahorro familiar agregado (Marchante y Ortega, 1998).  </w:t>
      </w:r>
    </w:p>
    <w:p w:rsidR="00502D7C" w:rsidRDefault="00502D7C" w:rsidP="00502D7C"/>
    <w:p w:rsidR="00AA559F" w:rsidRDefault="00AA559F" w:rsidP="00C446F4">
      <w:pPr>
        <w:jc w:val="center"/>
        <w:rPr>
          <w:b/>
        </w:rPr>
      </w:pPr>
    </w:p>
    <w:p w:rsidR="00AA559F" w:rsidRDefault="00AA559F" w:rsidP="00C446F4">
      <w:pPr>
        <w:jc w:val="center"/>
        <w:rPr>
          <w:b/>
        </w:rPr>
      </w:pPr>
    </w:p>
    <w:p w:rsidR="00AA559F" w:rsidRDefault="00AA559F" w:rsidP="00C446F4">
      <w:pPr>
        <w:jc w:val="center"/>
        <w:rPr>
          <w:b/>
        </w:rPr>
      </w:pPr>
    </w:p>
    <w:p w:rsidR="00AA559F" w:rsidRDefault="00AA559F" w:rsidP="00C446F4">
      <w:pPr>
        <w:jc w:val="center"/>
        <w:rPr>
          <w:b/>
        </w:rPr>
      </w:pPr>
    </w:p>
    <w:p w:rsidR="00AA559F" w:rsidRDefault="00AA559F" w:rsidP="00C446F4">
      <w:pPr>
        <w:jc w:val="center"/>
        <w:rPr>
          <w:b/>
        </w:rPr>
      </w:pPr>
    </w:p>
    <w:p w:rsidR="00AA559F" w:rsidRDefault="00AA559F" w:rsidP="00C446F4">
      <w:pPr>
        <w:jc w:val="center"/>
        <w:rPr>
          <w:b/>
        </w:rPr>
      </w:pPr>
    </w:p>
    <w:p w:rsidR="00AA559F" w:rsidRDefault="00AA559F" w:rsidP="00C446F4">
      <w:pPr>
        <w:jc w:val="center"/>
        <w:rPr>
          <w:b/>
        </w:rPr>
      </w:pPr>
    </w:p>
    <w:p w:rsidR="00AA559F" w:rsidRDefault="00AA559F" w:rsidP="00C446F4">
      <w:pPr>
        <w:jc w:val="center"/>
        <w:rPr>
          <w:b/>
        </w:rPr>
      </w:pPr>
    </w:p>
    <w:p w:rsidR="00AA559F" w:rsidRDefault="00AA559F" w:rsidP="00C446F4">
      <w:pPr>
        <w:jc w:val="center"/>
        <w:rPr>
          <w:b/>
        </w:rPr>
      </w:pPr>
    </w:p>
    <w:p w:rsidR="00AA559F" w:rsidRDefault="00AA559F" w:rsidP="00C446F4">
      <w:pPr>
        <w:jc w:val="center"/>
        <w:rPr>
          <w:b/>
        </w:rPr>
      </w:pPr>
    </w:p>
    <w:p w:rsidR="00C446F4" w:rsidRPr="00CE2ECE" w:rsidRDefault="00C446F4" w:rsidP="00C446F4">
      <w:pPr>
        <w:jc w:val="center"/>
        <w:rPr>
          <w:b/>
        </w:rPr>
      </w:pPr>
      <w:r w:rsidRPr="00CE2ECE">
        <w:rPr>
          <w:b/>
        </w:rPr>
        <w:lastRenderedPageBreak/>
        <w:t>Gráfico</w:t>
      </w:r>
      <w:r>
        <w:rPr>
          <w:b/>
        </w:rPr>
        <w:t xml:space="preserve"> </w:t>
      </w:r>
      <w:r w:rsidR="00053F9D">
        <w:rPr>
          <w:b/>
        </w:rPr>
        <w:t>9</w:t>
      </w:r>
      <w:r w:rsidRPr="00CE2ECE">
        <w:rPr>
          <w:b/>
        </w:rPr>
        <w:t>.</w:t>
      </w:r>
      <w:r w:rsidR="00053F9D">
        <w:rPr>
          <w:b/>
        </w:rPr>
        <w:t xml:space="preserve"> La tasa de inflación (2000-2009)</w:t>
      </w:r>
      <w:r w:rsidRPr="00CE2ECE">
        <w:rPr>
          <w:b/>
        </w:rPr>
        <w:t xml:space="preserve"> </w:t>
      </w:r>
    </w:p>
    <w:p w:rsidR="00C446F4" w:rsidRPr="00E465F7" w:rsidRDefault="00C446F4" w:rsidP="00C446F4">
      <w:r>
        <w:rPr>
          <w:noProof/>
          <w:lang w:val="es-ES_tradnl" w:eastAsia="es-ES_tradnl"/>
        </w:rPr>
        <w:drawing>
          <wp:inline distT="0" distB="0" distL="0" distR="0" wp14:anchorId="01D3A1C5" wp14:editId="2EF1C195">
            <wp:extent cx="5457825" cy="16097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extLst>
                        <a:ext uri="{28A0092B-C50C-407E-A947-70E740481C1C}">
                          <a14:useLocalDpi xmlns:a14="http://schemas.microsoft.com/office/drawing/2010/main" val="0"/>
                        </a:ext>
                      </a:extLst>
                    </a:blip>
                    <a:srcRect l="3175" t="20000" r="870" b="4889"/>
                    <a:stretch/>
                  </pic:blipFill>
                  <pic:spPr bwMode="auto">
                    <a:xfrm>
                      <a:off x="0" y="0"/>
                      <a:ext cx="5457825" cy="1609725"/>
                    </a:xfrm>
                    <a:prstGeom prst="rect">
                      <a:avLst/>
                    </a:prstGeom>
                    <a:noFill/>
                    <a:ln>
                      <a:noFill/>
                    </a:ln>
                    <a:extLst>
                      <a:ext uri="{53640926-AAD7-44D8-BBD7-CCE9431645EC}">
                        <a14:shadowObscured xmlns:a14="http://schemas.microsoft.com/office/drawing/2010/main"/>
                      </a:ext>
                    </a:extLst>
                  </pic:spPr>
                </pic:pic>
              </a:graphicData>
            </a:graphic>
          </wp:inline>
        </w:drawing>
      </w:r>
    </w:p>
    <w:p w:rsidR="00C446F4" w:rsidRPr="00053F9D" w:rsidRDefault="00C446F4" w:rsidP="00C446F4">
      <w:pPr>
        <w:jc w:val="center"/>
        <w:rPr>
          <w:b/>
          <w:sz w:val="20"/>
          <w:szCs w:val="22"/>
        </w:rPr>
      </w:pPr>
      <w:r w:rsidRPr="00053F9D">
        <w:rPr>
          <w:b/>
          <w:sz w:val="20"/>
          <w:szCs w:val="22"/>
        </w:rPr>
        <w:t>Fuente: Elaboración propia. Datos INE</w:t>
      </w:r>
    </w:p>
    <w:p w:rsidR="00C446F4" w:rsidRDefault="00C446F4" w:rsidP="00C446F4"/>
    <w:p w:rsidR="00C446F4" w:rsidRDefault="00C446F4" w:rsidP="00C446F4"/>
    <w:p w:rsidR="00C446F4" w:rsidRDefault="00C446F4" w:rsidP="00C446F4">
      <w:pPr>
        <w:jc w:val="both"/>
      </w:pPr>
      <w:r>
        <w:t>Se aprecia</w:t>
      </w:r>
      <w:r w:rsidR="008C3A50">
        <w:t xml:space="preserve"> en el gráfico 9</w:t>
      </w:r>
      <w:r>
        <w:t xml:space="preserve"> una inflación superior al 3% en la mayoría de los años, alcanzando el 4% durante 2008. Sin embargo, durante 2009 los precios han caído de una forma radical hasta tasas negativas. </w:t>
      </w:r>
    </w:p>
    <w:p w:rsidR="00C446F4" w:rsidRDefault="00C446F4" w:rsidP="00502D7C"/>
    <w:p w:rsidR="00C446F4" w:rsidRDefault="008C3A50" w:rsidP="00C446F4">
      <w:pPr>
        <w:jc w:val="both"/>
      </w:pPr>
      <w:r>
        <w:t>Con la caída de precios la pérdida de poder adquisitivo ha sido menor para las familias, llegando al extremo de que en 2009 se dieron varios meses con tasas negativas de inflación, lo que permitió a las familias ganar poder adquisitivo y así aumentar el valor de su renta disponible bruta.</w:t>
      </w:r>
    </w:p>
    <w:p w:rsidR="00042519" w:rsidRDefault="00042519" w:rsidP="00C446F4">
      <w:pPr>
        <w:jc w:val="both"/>
      </w:pPr>
    </w:p>
    <w:p w:rsidR="00042519" w:rsidRDefault="00042519" w:rsidP="00C446F4">
      <w:pPr>
        <w:jc w:val="both"/>
      </w:pPr>
      <w:r>
        <w:t>Por tanto, hay que hacer hincapié en que tanto las políticas públicas de trasferencias corrientes como la evolución de la inflación han permitido a las familias incrementar su renta disponible bruta. De esta forma, la tasa de ahorro de los hogares españoles ha aumentado menos de lo que podría haberlo hecho de no haberse puesto en práctica las políticas públicas señaladas.</w:t>
      </w:r>
    </w:p>
    <w:p w:rsidR="00042519" w:rsidRDefault="00042519" w:rsidP="00C446F4">
      <w:pPr>
        <w:jc w:val="both"/>
      </w:pPr>
    </w:p>
    <w:p w:rsidR="00C446F4" w:rsidRDefault="00042519" w:rsidP="00136311">
      <w:pPr>
        <w:jc w:val="both"/>
      </w:pPr>
      <w:r>
        <w:t xml:space="preserve">Una vez se han analizado las cusas del incremento de la tasa de ahorro de los hogares, a continuación se desarrolla un análisis cuantitativo que ayudará a conocer mejor los factores que explican esta magnitud, así como qué condiciona su evolución en el corto plazo. Todo ello permite entender mejor los sucesos que han acontecido durante los primeros años de crisis </w:t>
      </w:r>
      <w:r w:rsidR="00F335BB">
        <w:t>económicos</w:t>
      </w:r>
      <w:r>
        <w:t xml:space="preserve">. </w:t>
      </w: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FA5E38" w:rsidRDefault="00FA5E38" w:rsidP="00136311">
      <w:pPr>
        <w:jc w:val="both"/>
      </w:pPr>
    </w:p>
    <w:p w:rsidR="00502D7C" w:rsidRDefault="00502D7C" w:rsidP="00502D7C"/>
    <w:p w:rsidR="00D03EB8" w:rsidRPr="00016950" w:rsidRDefault="00D03EB8" w:rsidP="00331C39">
      <w:pPr>
        <w:pStyle w:val="Ttulo2"/>
        <w:numPr>
          <w:ilvl w:val="1"/>
          <w:numId w:val="18"/>
        </w:numPr>
      </w:pPr>
      <w:bookmarkStart w:id="12" w:name="_Toc291939264"/>
      <w:r w:rsidRPr="00016950">
        <w:lastRenderedPageBreak/>
        <w:t>ANÁLISIS CUANTITATIVO</w:t>
      </w:r>
      <w:bookmarkEnd w:id="12"/>
    </w:p>
    <w:p w:rsidR="008B22DF" w:rsidRDefault="008B22DF" w:rsidP="008B22DF"/>
    <w:p w:rsidR="008B22DF" w:rsidRDefault="008B22DF" w:rsidP="00331C39">
      <w:pPr>
        <w:pStyle w:val="Ttulo3"/>
        <w:numPr>
          <w:ilvl w:val="2"/>
          <w:numId w:val="18"/>
        </w:numPr>
      </w:pPr>
      <w:bookmarkStart w:id="13" w:name="_Toc291939265"/>
      <w:r>
        <w:t>Modelo de Regresión Múltiple y Análisis de Componentes Principales</w:t>
      </w:r>
      <w:bookmarkEnd w:id="13"/>
    </w:p>
    <w:p w:rsidR="008B22DF" w:rsidRPr="008B22DF" w:rsidRDefault="008B22DF" w:rsidP="008B22DF"/>
    <w:p w:rsidR="008136AB" w:rsidRDefault="008136AB">
      <w:pPr>
        <w:rPr>
          <w:b/>
        </w:rPr>
      </w:pPr>
    </w:p>
    <w:p w:rsidR="00C446F4" w:rsidRDefault="00C446F4" w:rsidP="00C446F4">
      <w:pPr>
        <w:jc w:val="both"/>
      </w:pPr>
      <w:r>
        <w:t>En este apartado se ha construido</w:t>
      </w:r>
      <w:r w:rsidR="00FA5E38">
        <w:t>, en primer lugar,</w:t>
      </w:r>
      <w:r>
        <w:t xml:space="preserve"> un modelo econométrico de regresión múltiple que pretende explicar la tasa de ahorro de los hogares en España a través de las variables que se han estado estudiando hasta ahora. El modelo </w:t>
      </w:r>
      <w:r w:rsidR="00C85289">
        <w:t xml:space="preserve">es coherente con los especificados en la literatura (Marchante y Ortega, </w:t>
      </w:r>
      <w:r>
        <w:t xml:space="preserve">1998), con datos de nivel agregado para el caso de España y aportando </w:t>
      </w:r>
      <w:r w:rsidR="00C85289">
        <w:t>las</w:t>
      </w:r>
      <w:r>
        <w:t xml:space="preserve"> variables analizadas, la confianza, la tasa de </w:t>
      </w:r>
      <w:r w:rsidR="00C85289">
        <w:t>paro y el precio de la vivienda</w:t>
      </w:r>
      <w:r w:rsidR="00A87AC8">
        <w:t>, a la vez que se han utilizado las aportadas por Marchante y Ortega (1998), referidas a sueldos y salarios, excedente bruto de explotación y otras rentas de propiedad, trasferencias corrientes, una medida de restricción crediticia y la tasa de inflaci</w:t>
      </w:r>
      <w:r w:rsidR="00DF7F21">
        <w:t>ón</w:t>
      </w:r>
      <w:r w:rsidR="00C85289">
        <w:t>. L</w:t>
      </w:r>
      <w:r>
        <w:t>a variable dependiente, que no es el ahorro familiar bruto, sino la tasa de ahorro de los hogares. Los datos utilizados son del periodo 2000-2009, de forma que se tenga en cuenta la crisis económica.</w:t>
      </w:r>
    </w:p>
    <w:p w:rsidR="00C446F4" w:rsidRDefault="00C446F4" w:rsidP="00C446F4"/>
    <w:p w:rsidR="00C446F4" w:rsidRDefault="00C446F4" w:rsidP="00C446F4">
      <w:r>
        <w:t>El modelo inicialmente especificado es el siguiente:</w:t>
      </w:r>
    </w:p>
    <w:p w:rsidR="00C446F4" w:rsidRDefault="00C446F4" w:rsidP="00C446F4"/>
    <w:p w:rsidR="00C446F4" w:rsidRDefault="00C446F4" w:rsidP="00C446F4">
      <w:pPr>
        <w:jc w:val="center"/>
      </w:pPr>
      <w:r w:rsidRPr="00FD27E2">
        <w:rPr>
          <w:position w:val="-12"/>
        </w:rPr>
        <w:object w:dxaOrig="7220" w:dyaOrig="360">
          <v:shape id="_x0000_i1029" type="#_x0000_t75" style="width:360.75pt;height:18pt" o:ole="">
            <v:imagedata r:id="rId25" o:title=""/>
          </v:shape>
          <o:OLEObject Type="Embed" ProgID="Equation.3" ShapeID="_x0000_i1029" DrawAspect="Content" ObjectID="_1367993813" r:id="rId26"/>
        </w:object>
      </w:r>
    </w:p>
    <w:p w:rsidR="00C446F4" w:rsidRDefault="00C446F4" w:rsidP="00C446F4"/>
    <w:p w:rsidR="00C446F4" w:rsidRDefault="00C446F4" w:rsidP="00C446F4">
      <w:pPr>
        <w:jc w:val="both"/>
      </w:pPr>
      <w:r>
        <w:t xml:space="preserve">Donde </w:t>
      </w:r>
      <w:proofErr w:type="spellStart"/>
      <w:r w:rsidRPr="0010199E">
        <w:rPr>
          <w:b/>
        </w:rPr>
        <w:t>S</w:t>
      </w:r>
      <w:r w:rsidRPr="0010199E">
        <w:rPr>
          <w:b/>
          <w:vertAlign w:val="subscript"/>
        </w:rPr>
        <w:t>t</w:t>
      </w:r>
      <w:proofErr w:type="spellEnd"/>
      <w:r>
        <w:t xml:space="preserve"> es la tasa de ahorro de los hogares; </w:t>
      </w:r>
      <w:proofErr w:type="spellStart"/>
      <w:r w:rsidRPr="0010199E">
        <w:rPr>
          <w:b/>
        </w:rPr>
        <w:t>W</w:t>
      </w:r>
      <w:r w:rsidRPr="0010199E">
        <w:rPr>
          <w:b/>
          <w:vertAlign w:val="subscript"/>
        </w:rPr>
        <w:t>t</w:t>
      </w:r>
      <w:proofErr w:type="spellEnd"/>
      <w:r>
        <w:t xml:space="preserve"> son los sueldos y salarios después de impuestos y cotizaciones sociales por habitante;</w:t>
      </w:r>
      <w:r w:rsidRPr="0010199E">
        <w:rPr>
          <w:b/>
        </w:rPr>
        <w:t xml:space="preserve"> P</w:t>
      </w:r>
      <w:r w:rsidRPr="0010199E">
        <w:rPr>
          <w:b/>
          <w:vertAlign w:val="subscript"/>
        </w:rPr>
        <w:t>t</w:t>
      </w:r>
      <w:r w:rsidRPr="0010199E">
        <w:rPr>
          <w:b/>
        </w:rPr>
        <w:t xml:space="preserve"> </w:t>
      </w:r>
      <w:r>
        <w:t xml:space="preserve">es el excedente bruto de explotación y otras rentas de la propiedad por habitante; </w:t>
      </w:r>
      <w:proofErr w:type="spellStart"/>
      <w:r w:rsidRPr="0010199E">
        <w:rPr>
          <w:b/>
        </w:rPr>
        <w:t>TR</w:t>
      </w:r>
      <w:r w:rsidRPr="0010199E">
        <w:rPr>
          <w:b/>
          <w:vertAlign w:val="subscript"/>
        </w:rPr>
        <w:t>t</w:t>
      </w:r>
      <w:proofErr w:type="spellEnd"/>
      <w:r>
        <w:t xml:space="preserve"> son las transferencias corrientes por habitante; </w:t>
      </w:r>
      <w:proofErr w:type="spellStart"/>
      <w:r w:rsidRPr="0010199E">
        <w:rPr>
          <w:b/>
        </w:rPr>
        <w:t>CVAB</w:t>
      </w:r>
      <w:r w:rsidRPr="0010199E">
        <w:rPr>
          <w:b/>
          <w:vertAlign w:val="subscript"/>
        </w:rPr>
        <w:t>t</w:t>
      </w:r>
      <w:proofErr w:type="spellEnd"/>
      <w:r w:rsidRPr="0010199E">
        <w:rPr>
          <w:b/>
        </w:rPr>
        <w:t xml:space="preserve"> </w:t>
      </w:r>
      <w:r>
        <w:t>es el cociente entre el crédito de las entidades financieras a los hogares y el valor añadido bruto</w:t>
      </w:r>
      <w:r w:rsidRPr="0010199E">
        <w:rPr>
          <w:b/>
        </w:rPr>
        <w:t xml:space="preserve">; </w:t>
      </w:r>
      <w:proofErr w:type="spellStart"/>
      <w:r w:rsidRPr="0010199E">
        <w:rPr>
          <w:b/>
        </w:rPr>
        <w:t>I</w:t>
      </w:r>
      <w:r w:rsidRPr="0010199E">
        <w:rPr>
          <w:b/>
          <w:vertAlign w:val="subscript"/>
        </w:rPr>
        <w:t>t</w:t>
      </w:r>
      <w:proofErr w:type="spellEnd"/>
      <w:r w:rsidRPr="0010199E">
        <w:rPr>
          <w:b/>
        </w:rPr>
        <w:t xml:space="preserve"> </w:t>
      </w:r>
      <w:r>
        <w:t xml:space="preserve">es la tasa de inflación; </w:t>
      </w:r>
      <w:proofErr w:type="spellStart"/>
      <w:r w:rsidRPr="0010199E">
        <w:rPr>
          <w:b/>
        </w:rPr>
        <w:t>C</w:t>
      </w:r>
      <w:r w:rsidRPr="0010199E">
        <w:rPr>
          <w:b/>
          <w:vertAlign w:val="subscript"/>
        </w:rPr>
        <w:t>t</w:t>
      </w:r>
      <w:proofErr w:type="spellEnd"/>
      <w:r>
        <w:t xml:space="preserve"> es el nivel de confianza de los consumidores; </w:t>
      </w:r>
      <w:proofErr w:type="spellStart"/>
      <w:r w:rsidRPr="0010199E">
        <w:rPr>
          <w:b/>
        </w:rPr>
        <w:t>TP</w:t>
      </w:r>
      <w:r w:rsidRPr="0010199E">
        <w:rPr>
          <w:b/>
          <w:vertAlign w:val="subscript"/>
        </w:rPr>
        <w:t>t</w:t>
      </w:r>
      <w:proofErr w:type="spellEnd"/>
      <w:r>
        <w:t xml:space="preserve"> es la tasa de paro y </w:t>
      </w:r>
      <w:proofErr w:type="spellStart"/>
      <w:r w:rsidRPr="0010199E">
        <w:rPr>
          <w:b/>
        </w:rPr>
        <w:t>V</w:t>
      </w:r>
      <w:r w:rsidRPr="0010199E">
        <w:rPr>
          <w:b/>
          <w:vertAlign w:val="subscript"/>
        </w:rPr>
        <w:t>t</w:t>
      </w:r>
      <w:proofErr w:type="spellEnd"/>
      <w:r w:rsidRPr="0010199E">
        <w:rPr>
          <w:b/>
        </w:rPr>
        <w:t xml:space="preserve"> </w:t>
      </w:r>
      <w:r>
        <w:t xml:space="preserve">es el precio medio de la vivienda. </w:t>
      </w:r>
    </w:p>
    <w:p w:rsidR="00C446F4" w:rsidRDefault="00C446F4" w:rsidP="00C446F4"/>
    <w:p w:rsidR="00C446F4" w:rsidRDefault="00C446F4" w:rsidP="00C446F4">
      <w:r>
        <w:t>La forma de calcular las variables es la siguiente:</w:t>
      </w:r>
    </w:p>
    <w:p w:rsidR="00C446F4" w:rsidRDefault="00C446F4" w:rsidP="00C446F4"/>
    <w:p w:rsidR="00C446F4" w:rsidRDefault="00C446F4" w:rsidP="00C446F4">
      <w:r w:rsidRPr="00AC1898">
        <w:rPr>
          <w:position w:val="-30"/>
        </w:rPr>
        <w:object w:dxaOrig="3220" w:dyaOrig="700">
          <v:shape id="_x0000_i1030" type="#_x0000_t75" style="width:161.25pt;height:35.25pt" o:ole="">
            <v:imagedata r:id="rId27" o:title=""/>
          </v:shape>
          <o:OLEObject Type="Embed" ProgID="Equation.3" ShapeID="_x0000_i1030" DrawAspect="Content" ObjectID="_1367993814" r:id="rId28"/>
        </w:object>
      </w:r>
    </w:p>
    <w:p w:rsidR="00C446F4" w:rsidRDefault="00C446F4" w:rsidP="00C446F4"/>
    <w:p w:rsidR="00C446F4" w:rsidRDefault="00C446F4" w:rsidP="00C446F4">
      <w:pPr>
        <w:jc w:val="both"/>
      </w:pPr>
      <w:r>
        <w:t xml:space="preserve">Siendo </w:t>
      </w:r>
      <w:proofErr w:type="spellStart"/>
      <w:r w:rsidRPr="00D66568">
        <w:rPr>
          <w:b/>
        </w:rPr>
        <w:t>TIM</w:t>
      </w:r>
      <w:r w:rsidRPr="00D66568">
        <w:rPr>
          <w:b/>
          <w:vertAlign w:val="subscript"/>
        </w:rPr>
        <w:t>t</w:t>
      </w:r>
      <w:proofErr w:type="spellEnd"/>
      <w:r w:rsidRPr="00D66568">
        <w:rPr>
          <w:b/>
        </w:rPr>
        <w:t xml:space="preserve"> </w:t>
      </w:r>
      <w:r>
        <w:t xml:space="preserve">el Tipo Impositivo Medio; </w:t>
      </w:r>
      <w:proofErr w:type="spellStart"/>
      <w:r w:rsidRPr="00D66568">
        <w:rPr>
          <w:b/>
        </w:rPr>
        <w:t>T</w:t>
      </w:r>
      <w:r w:rsidRPr="00D66568">
        <w:rPr>
          <w:b/>
          <w:vertAlign w:val="subscript"/>
        </w:rPr>
        <w:t>t</w:t>
      </w:r>
      <w:proofErr w:type="spellEnd"/>
      <w:r>
        <w:t xml:space="preserve"> los Impuestos corrientes sobre la Renta y el Patrimonio; </w:t>
      </w:r>
      <w:proofErr w:type="spellStart"/>
      <w:r w:rsidRPr="00D66568">
        <w:rPr>
          <w:b/>
        </w:rPr>
        <w:t>CS</w:t>
      </w:r>
      <w:r w:rsidRPr="00D66568">
        <w:rPr>
          <w:b/>
          <w:vertAlign w:val="subscript"/>
        </w:rPr>
        <w:t>t</w:t>
      </w:r>
      <w:proofErr w:type="spellEnd"/>
      <w:r w:rsidRPr="00D66568">
        <w:rPr>
          <w:b/>
        </w:rPr>
        <w:t xml:space="preserve"> </w:t>
      </w:r>
      <w:r>
        <w:t xml:space="preserve">las Cotizaciones Sociales; </w:t>
      </w:r>
      <w:proofErr w:type="spellStart"/>
      <w:r w:rsidRPr="00D66568">
        <w:rPr>
          <w:b/>
        </w:rPr>
        <w:t>EBE</w:t>
      </w:r>
      <w:r w:rsidRPr="00D66568">
        <w:rPr>
          <w:b/>
          <w:vertAlign w:val="subscript"/>
        </w:rPr>
        <w:t>t</w:t>
      </w:r>
      <w:proofErr w:type="spellEnd"/>
      <w:r>
        <w:t xml:space="preserve"> el Excedente Bruto de Explotación e </w:t>
      </w:r>
      <w:proofErr w:type="spellStart"/>
      <w:r w:rsidRPr="00D66568">
        <w:rPr>
          <w:b/>
        </w:rPr>
        <w:t>IRP</w:t>
      </w:r>
      <w:r w:rsidRPr="00D66568">
        <w:rPr>
          <w:b/>
          <w:vertAlign w:val="subscript"/>
        </w:rPr>
        <w:t>t</w:t>
      </w:r>
      <w:proofErr w:type="spellEnd"/>
      <w:r w:rsidRPr="00D66568">
        <w:rPr>
          <w:b/>
        </w:rPr>
        <w:t xml:space="preserve"> </w:t>
      </w:r>
      <w:r>
        <w:t>los Intereses, Rentas de Propiedad y Otras Rentas de Propiedad.</w:t>
      </w:r>
    </w:p>
    <w:p w:rsidR="00C446F4" w:rsidRDefault="00C446F4" w:rsidP="00C446F4"/>
    <w:p w:rsidR="00C446F4" w:rsidRDefault="00C446F4" w:rsidP="00C446F4">
      <w:r w:rsidRPr="001E35CC">
        <w:rPr>
          <w:position w:val="-12"/>
        </w:rPr>
        <w:object w:dxaOrig="7119" w:dyaOrig="360">
          <v:shape id="_x0000_i1031" type="#_x0000_t75" style="width:356.25pt;height:18pt" o:ole="">
            <v:imagedata r:id="rId29" o:title=""/>
          </v:shape>
          <o:OLEObject Type="Embed" ProgID="Equation.3" ShapeID="_x0000_i1031" DrawAspect="Content" ObjectID="_1367993815" r:id="rId30"/>
        </w:object>
      </w:r>
    </w:p>
    <w:p w:rsidR="00C446F4" w:rsidRDefault="00C446F4" w:rsidP="00C446F4">
      <w:r w:rsidRPr="00093A4C">
        <w:rPr>
          <w:position w:val="-12"/>
        </w:rPr>
        <w:object w:dxaOrig="2980" w:dyaOrig="360">
          <v:shape id="_x0000_i1032" type="#_x0000_t75" style="width:149.25pt;height:18pt" o:ole="">
            <v:imagedata r:id="rId31" o:title=""/>
          </v:shape>
          <o:OLEObject Type="Embed" ProgID="Equation.3" ShapeID="_x0000_i1032" DrawAspect="Content" ObjectID="_1367993816" r:id="rId32"/>
        </w:object>
      </w:r>
    </w:p>
    <w:p w:rsidR="00C446F4" w:rsidRDefault="00C446F4" w:rsidP="00C446F4">
      <w:r w:rsidRPr="00093A4C">
        <w:rPr>
          <w:position w:val="-30"/>
        </w:rPr>
        <w:object w:dxaOrig="3019" w:dyaOrig="700">
          <v:shape id="_x0000_i1033" type="#_x0000_t75" style="width:150.75pt;height:35.25pt" o:ole="">
            <v:imagedata r:id="rId33" o:title=""/>
          </v:shape>
          <o:OLEObject Type="Embed" ProgID="Equation.3" ShapeID="_x0000_i1033" DrawAspect="Content" ObjectID="_1367993817" r:id="rId34"/>
        </w:object>
      </w:r>
    </w:p>
    <w:p w:rsidR="00C446F4" w:rsidRDefault="00C446F4" w:rsidP="00C446F4">
      <w:pPr>
        <w:jc w:val="both"/>
      </w:pPr>
    </w:p>
    <w:p w:rsidR="00C446F4" w:rsidRDefault="00C446F4" w:rsidP="00C446F4">
      <w:pPr>
        <w:tabs>
          <w:tab w:val="left" w:pos="7815"/>
        </w:tabs>
        <w:jc w:val="both"/>
        <w:rPr>
          <w:b/>
          <w:vertAlign w:val="subscript"/>
        </w:rPr>
      </w:pPr>
      <w:r>
        <w:t xml:space="preserve">Todas las variables están expresadas en términos per cápita, excepto </w:t>
      </w:r>
      <w:proofErr w:type="spellStart"/>
      <w:r w:rsidRPr="0010199E">
        <w:rPr>
          <w:b/>
        </w:rPr>
        <w:t>CVAB</w:t>
      </w:r>
      <w:r w:rsidRPr="0010199E">
        <w:rPr>
          <w:b/>
          <w:vertAlign w:val="subscript"/>
        </w:rPr>
        <w:t>t</w:t>
      </w:r>
      <w:proofErr w:type="spellEnd"/>
      <w:r>
        <w:rPr>
          <w:b/>
          <w:vertAlign w:val="subscript"/>
        </w:rPr>
        <w:t xml:space="preserve">, </w:t>
      </w:r>
      <w:proofErr w:type="spellStart"/>
      <w:r w:rsidRPr="0010199E">
        <w:rPr>
          <w:b/>
        </w:rPr>
        <w:t>I</w:t>
      </w:r>
      <w:r w:rsidRPr="0010199E">
        <w:rPr>
          <w:b/>
          <w:vertAlign w:val="subscript"/>
        </w:rPr>
        <w:t>t</w:t>
      </w:r>
      <w:proofErr w:type="spellEnd"/>
      <w:r>
        <w:rPr>
          <w:b/>
          <w:vertAlign w:val="subscript"/>
        </w:rPr>
        <w:t xml:space="preserve">, </w:t>
      </w:r>
      <w:proofErr w:type="spellStart"/>
      <w:r w:rsidRPr="0010199E">
        <w:rPr>
          <w:b/>
        </w:rPr>
        <w:t>TP</w:t>
      </w:r>
      <w:r w:rsidRPr="0010199E">
        <w:rPr>
          <w:b/>
          <w:vertAlign w:val="subscript"/>
        </w:rPr>
        <w:t>t</w:t>
      </w:r>
      <w:proofErr w:type="spellEnd"/>
      <w:r>
        <w:rPr>
          <w:b/>
          <w:vertAlign w:val="subscript"/>
        </w:rPr>
        <w:t xml:space="preserve">, </w:t>
      </w:r>
      <w:proofErr w:type="spellStart"/>
      <w:r w:rsidRPr="0010199E">
        <w:rPr>
          <w:b/>
        </w:rPr>
        <w:t>V</w:t>
      </w:r>
      <w:r w:rsidRPr="0010199E">
        <w:rPr>
          <w:b/>
          <w:vertAlign w:val="subscript"/>
        </w:rPr>
        <w:t>t</w:t>
      </w:r>
      <w:proofErr w:type="spellEnd"/>
      <w:r>
        <w:rPr>
          <w:b/>
          <w:vertAlign w:val="subscript"/>
        </w:rPr>
        <w:t xml:space="preserve">   </w:t>
      </w:r>
      <w:proofErr w:type="spellStart"/>
      <w:r w:rsidRPr="00D66568">
        <w:rPr>
          <w:b/>
        </w:rPr>
        <w:t>TIM</w:t>
      </w:r>
      <w:r w:rsidRPr="00D66568">
        <w:rPr>
          <w:b/>
          <w:vertAlign w:val="subscript"/>
        </w:rPr>
        <w:t>t</w:t>
      </w:r>
      <w:proofErr w:type="spellEnd"/>
      <w:r>
        <w:rPr>
          <w:b/>
          <w:vertAlign w:val="subscript"/>
        </w:rPr>
        <w:t xml:space="preserve">. </w:t>
      </w:r>
    </w:p>
    <w:p w:rsidR="00C446F4" w:rsidRDefault="00C446F4" w:rsidP="00C446F4">
      <w:pPr>
        <w:jc w:val="both"/>
      </w:pPr>
    </w:p>
    <w:p w:rsidR="00C446F4" w:rsidRDefault="00C446F4" w:rsidP="00C446F4">
      <w:pPr>
        <w:jc w:val="both"/>
      </w:pPr>
      <w:r>
        <w:t xml:space="preserve">Hay que señalar que antes de estimar el modelo se ha realizado un análisis para detectar si existen problemas de </w:t>
      </w:r>
      <w:proofErr w:type="spellStart"/>
      <w:r>
        <w:t>multicolinealidad</w:t>
      </w:r>
      <w:proofErr w:type="spellEnd"/>
      <w:r>
        <w:t xml:space="preserve">, es decir, que las variables explicativas están fuertemente correlacionadas entre sí. En caso de existir este problema, se perturba la interpretación de los coeficientes de regresión estimados y sus errores estándar. </w:t>
      </w:r>
    </w:p>
    <w:p w:rsidR="00C446F4" w:rsidRDefault="00C446F4" w:rsidP="00C446F4">
      <w:pPr>
        <w:jc w:val="both"/>
      </w:pPr>
    </w:p>
    <w:p w:rsidR="00C446F4" w:rsidRDefault="00FA5E38" w:rsidP="00C446F4">
      <w:pPr>
        <w:jc w:val="both"/>
      </w:pPr>
      <w:r>
        <w:t>Una forma</w:t>
      </w:r>
      <w:r w:rsidR="00C446F4">
        <w:t xml:space="preserve"> de solventar el problema de la </w:t>
      </w:r>
      <w:proofErr w:type="spellStart"/>
      <w:r w:rsidR="00C446F4">
        <w:t>multicolinealidad</w:t>
      </w:r>
      <w:proofErr w:type="spellEnd"/>
      <w:r w:rsidR="00C446F4">
        <w:t xml:space="preserve"> es utilizar el análisis factorial de componentes principales, en base a la propiedad de independencia de los factores obtenidos. Se aplica el análisis factorial a las variables independientes que están correlacionadas entre sí y después se sustituyen sus valores por las puntuaciones de los factores obtenidos, pues estos no tienen correlación entre ellos (</w:t>
      </w:r>
      <w:proofErr w:type="spellStart"/>
      <w:r w:rsidR="00C446F4">
        <w:t>Santesmases</w:t>
      </w:r>
      <w:proofErr w:type="spellEnd"/>
      <w:r w:rsidR="00C446F4">
        <w:t xml:space="preserve">, 2009). </w:t>
      </w:r>
    </w:p>
    <w:p w:rsidR="00C446F4" w:rsidRDefault="00C446F4" w:rsidP="00C446F4"/>
    <w:p w:rsidR="00C446F4" w:rsidRDefault="00C446F4" w:rsidP="00C446F4">
      <w:pPr>
        <w:jc w:val="both"/>
      </w:pPr>
      <w:r>
        <w:t xml:space="preserve">Para evaluar si es necesario el análisis factorial se realiza el Test de Bartlett, que parte de la hipótesis nula de que la matriz de correlación de las variables no es significativamente distinta de una matriz identidad. En caso de que la hipótesis nula se rechace, es adecuada la utilización del análisis factorial. </w:t>
      </w:r>
    </w:p>
    <w:p w:rsidR="00C446F4" w:rsidRDefault="00C446F4" w:rsidP="00C446F4"/>
    <w:p w:rsidR="00C446F4" w:rsidRDefault="00C446F4" w:rsidP="00C446F4">
      <w:r>
        <w:t>A continuación se presentan los resultados del Test de Bartlett para los datos de este trabajo:</w:t>
      </w:r>
    </w:p>
    <w:p w:rsidR="00C446F4" w:rsidRDefault="00C446F4" w:rsidP="00C446F4"/>
    <w:p w:rsidR="00C446F4" w:rsidRDefault="00C446F4" w:rsidP="00C446F4"/>
    <w:p w:rsidR="00FA5E38" w:rsidRDefault="00FA5E38" w:rsidP="00C446F4"/>
    <w:p w:rsidR="00FA5E38" w:rsidRDefault="00FA5E38" w:rsidP="00C446F4"/>
    <w:p w:rsidR="00FA5E38" w:rsidRDefault="00FA5E38" w:rsidP="00C446F4"/>
    <w:p w:rsidR="00FA5E38" w:rsidRDefault="00FA5E38" w:rsidP="00C446F4"/>
    <w:p w:rsidR="00C446F4" w:rsidRPr="00206A19" w:rsidRDefault="00C446F4" w:rsidP="00C446F4">
      <w:pPr>
        <w:jc w:val="center"/>
      </w:pPr>
      <w:r w:rsidRPr="00206A19">
        <w:rPr>
          <w:b/>
        </w:rPr>
        <w:t>Cuadro 1. Test de Bartlett</w:t>
      </w:r>
    </w:p>
    <w:p w:rsidR="00C446F4" w:rsidRDefault="00C446F4" w:rsidP="00C446F4">
      <w:r>
        <w:rPr>
          <w:noProof/>
          <w:lang w:val="es-ES_tradnl" w:eastAsia="es-ES_tradnl"/>
        </w:rPr>
        <mc:AlternateContent>
          <mc:Choice Requires="wps">
            <w:drawing>
              <wp:anchor distT="0" distB="0" distL="114300" distR="114300" simplePos="0" relativeHeight="251659264" behindDoc="0" locked="0" layoutInCell="1" allowOverlap="1" wp14:anchorId="0B9C41C2" wp14:editId="049364AE">
                <wp:simplePos x="0" y="0"/>
                <wp:positionH relativeFrom="column">
                  <wp:align>center</wp:align>
                </wp:positionH>
                <wp:positionV relativeFrom="paragraph">
                  <wp:posOffset>31115</wp:posOffset>
                </wp:positionV>
                <wp:extent cx="6629400" cy="2613025"/>
                <wp:effectExtent l="8255" t="5080" r="10795" b="1079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13025"/>
                        </a:xfrm>
                        <a:prstGeom prst="rect">
                          <a:avLst/>
                        </a:prstGeom>
                        <a:solidFill>
                          <a:srgbClr val="FFFFFF"/>
                        </a:solidFill>
                        <a:ln w="9525">
                          <a:solidFill>
                            <a:srgbClr val="000000"/>
                          </a:solidFill>
                          <a:miter lim="800000"/>
                          <a:headEnd/>
                          <a:tailEnd/>
                        </a:ln>
                      </wps:spPr>
                      <wps:txbx>
                        <w:txbxContent>
                          <w:p w:rsidR="0044221C" w:rsidRPr="000B5DC2" w:rsidRDefault="0044221C" w:rsidP="00C446F4">
                            <w:pPr>
                              <w:autoSpaceDE w:val="0"/>
                              <w:autoSpaceDN w:val="0"/>
                              <w:adjustRightInd w:val="0"/>
                              <w:rPr>
                                <w:rFonts w:ascii="Courier New" w:hAnsi="Courier New" w:cs="Courier New"/>
                                <w:b/>
                                <w:sz w:val="18"/>
                                <w:szCs w:val="18"/>
                              </w:rPr>
                            </w:pPr>
                            <w:r w:rsidRPr="000B5DC2">
                              <w:rPr>
                                <w:rFonts w:ascii="Courier New" w:hAnsi="Courier New" w:cs="Courier New"/>
                                <w:b/>
                                <w:sz w:val="18"/>
                                <w:szCs w:val="18"/>
                              </w:rPr>
                              <w:t>Matriz de coeficientes de correlación simple</w:t>
                            </w:r>
                          </w:p>
                          <w:p w:rsidR="0044221C" w:rsidRPr="000B5DC2" w:rsidRDefault="0044221C" w:rsidP="00C446F4">
                            <w:pPr>
                              <w:autoSpaceDE w:val="0"/>
                              <w:autoSpaceDN w:val="0"/>
                              <w:adjustRightInd w:val="0"/>
                              <w:rPr>
                                <w:rFonts w:ascii="Courier New" w:hAnsi="Courier New" w:cs="Courier New"/>
                                <w:sz w:val="18"/>
                                <w:szCs w:val="18"/>
                              </w:rPr>
                            </w:pP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rPr>
                              <w:t xml:space="preserve">              </w:t>
                            </w:r>
                            <w:r w:rsidRPr="000B5DC2">
                              <w:rPr>
                                <w:rFonts w:ascii="Courier New" w:hAnsi="Courier New" w:cs="Courier New"/>
                                <w:sz w:val="18"/>
                                <w:szCs w:val="18"/>
                                <w:lang w:val="en-GB"/>
                              </w:rPr>
                              <w:t xml:space="preserve">W        P        TR       CVAB     I        C        TP       V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              -------- -------- -------- -------- -------- -------- -------- --------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W              1,0000   0,9852   0,9630   0,9423  -0,2905  -0,8352  -0,0645   0,9468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P              0,9852   1,0000   0,9252   0,9487  -0,2155  -0,7512  -0,1488   0,9490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TR             0,9630   0,9252   1,0000   0,9402  -0,4947  -0,8847   0,1966   0,8565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CVAB           0,9423   0,9487   0,9402   1,0000  -0,4223  -0,7101   0,0838   0,8902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I             -0,2905  -0,2155  -0,4947  -0,4223   1,0000   0,3294  -0,7536  -0,2086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C             -0,8352  -0,7512  -0,8847  -0,7101   0,3294   1,0000  -0,2415  -0,6536  </w:t>
                            </w:r>
                          </w:p>
                          <w:p w:rsidR="0044221C" w:rsidRPr="00C446F4" w:rsidRDefault="0044221C" w:rsidP="00C446F4">
                            <w:pPr>
                              <w:autoSpaceDE w:val="0"/>
                              <w:autoSpaceDN w:val="0"/>
                              <w:adjustRightInd w:val="0"/>
                              <w:rPr>
                                <w:rFonts w:ascii="Courier New" w:hAnsi="Courier New" w:cs="Courier New"/>
                                <w:sz w:val="18"/>
                                <w:szCs w:val="18"/>
                              </w:rPr>
                            </w:pPr>
                            <w:r w:rsidRPr="00C446F4">
                              <w:rPr>
                                <w:rFonts w:ascii="Courier New" w:hAnsi="Courier New" w:cs="Courier New"/>
                                <w:sz w:val="18"/>
                                <w:szCs w:val="18"/>
                              </w:rPr>
                              <w:t xml:space="preserve">TP            -0,0645  -0,1488   0,1966   0,0838  -0,7536  -0,2415   1,0000  -0,2695  </w:t>
                            </w:r>
                          </w:p>
                          <w:p w:rsidR="0044221C" w:rsidRPr="00C446F4" w:rsidRDefault="0044221C" w:rsidP="00C446F4">
                            <w:pPr>
                              <w:autoSpaceDE w:val="0"/>
                              <w:autoSpaceDN w:val="0"/>
                              <w:adjustRightInd w:val="0"/>
                              <w:rPr>
                                <w:rFonts w:ascii="Courier New" w:hAnsi="Courier New" w:cs="Courier New"/>
                                <w:sz w:val="18"/>
                                <w:szCs w:val="18"/>
                              </w:rPr>
                            </w:pPr>
                            <w:r w:rsidRPr="00C446F4">
                              <w:rPr>
                                <w:rFonts w:ascii="Courier New" w:hAnsi="Courier New" w:cs="Courier New"/>
                                <w:sz w:val="18"/>
                                <w:szCs w:val="18"/>
                              </w:rPr>
                              <w:t xml:space="preserve">V              0,9468   0,9490   0,8565   0,8902  -0,2086  -0,6536  -0,2695   1,0000  </w:t>
                            </w:r>
                          </w:p>
                          <w:p w:rsidR="0044221C" w:rsidRPr="00C446F4" w:rsidRDefault="0044221C" w:rsidP="00C446F4">
                            <w:pPr>
                              <w:autoSpaceDE w:val="0"/>
                              <w:autoSpaceDN w:val="0"/>
                              <w:adjustRightInd w:val="0"/>
                              <w:rPr>
                                <w:rFonts w:ascii="Courier New" w:hAnsi="Courier New" w:cs="Courier New"/>
                                <w:sz w:val="18"/>
                                <w:szCs w:val="18"/>
                              </w:rPr>
                            </w:pPr>
                          </w:p>
                          <w:p w:rsidR="0044221C" w:rsidRPr="00C446F4" w:rsidRDefault="0044221C" w:rsidP="00C446F4">
                            <w:pPr>
                              <w:autoSpaceDE w:val="0"/>
                              <w:autoSpaceDN w:val="0"/>
                              <w:adjustRightInd w:val="0"/>
                              <w:rPr>
                                <w:rFonts w:ascii="Courier New" w:hAnsi="Courier New" w:cs="Courier New"/>
                                <w:sz w:val="18"/>
                                <w:szCs w:val="18"/>
                              </w:rPr>
                            </w:pPr>
                          </w:p>
                          <w:p w:rsidR="0044221C" w:rsidRPr="00C446F4" w:rsidRDefault="0044221C" w:rsidP="00C446F4">
                            <w:pPr>
                              <w:autoSpaceDE w:val="0"/>
                              <w:autoSpaceDN w:val="0"/>
                              <w:adjustRightInd w:val="0"/>
                              <w:rPr>
                                <w:rFonts w:ascii="Courier New" w:hAnsi="Courier New" w:cs="Courier New"/>
                                <w:b/>
                                <w:sz w:val="18"/>
                                <w:szCs w:val="18"/>
                              </w:rPr>
                            </w:pPr>
                            <w:r w:rsidRPr="00C446F4">
                              <w:rPr>
                                <w:rFonts w:ascii="Courier New" w:hAnsi="Courier New" w:cs="Courier New"/>
                                <w:b/>
                                <w:sz w:val="18"/>
                                <w:szCs w:val="18"/>
                              </w:rPr>
                              <w:t xml:space="preserve">Test de Bartlett  </w:t>
                            </w:r>
                          </w:p>
                          <w:p w:rsidR="0044221C" w:rsidRPr="00C446F4" w:rsidRDefault="0044221C" w:rsidP="00C446F4">
                            <w:pPr>
                              <w:autoSpaceDE w:val="0"/>
                              <w:autoSpaceDN w:val="0"/>
                              <w:adjustRightInd w:val="0"/>
                              <w:rPr>
                                <w:rFonts w:ascii="Courier New" w:hAnsi="Courier New" w:cs="Courier New"/>
                                <w:b/>
                                <w:sz w:val="18"/>
                                <w:szCs w:val="18"/>
                              </w:rPr>
                            </w:pPr>
                          </w:p>
                          <w:p w:rsidR="0044221C" w:rsidRPr="000B5DC2" w:rsidRDefault="0044221C" w:rsidP="00C446F4">
                            <w:pPr>
                              <w:autoSpaceDE w:val="0"/>
                              <w:autoSpaceDN w:val="0"/>
                              <w:adjustRightInd w:val="0"/>
                              <w:rPr>
                                <w:rFonts w:ascii="Courier New" w:hAnsi="Courier New" w:cs="Courier New"/>
                                <w:sz w:val="18"/>
                                <w:szCs w:val="18"/>
                              </w:rPr>
                            </w:pPr>
                            <w:r w:rsidRPr="000B5DC2">
                              <w:rPr>
                                <w:rFonts w:ascii="Courier New" w:hAnsi="Courier New" w:cs="Courier New"/>
                                <w:sz w:val="18"/>
                                <w:szCs w:val="18"/>
                              </w:rPr>
                              <w:t xml:space="preserve">  Determinante de la matriz de correlación = 0,000000</w:t>
                            </w:r>
                          </w:p>
                          <w:p w:rsidR="0044221C" w:rsidRPr="000B5DC2" w:rsidRDefault="0044221C" w:rsidP="00C446F4">
                            <w:pPr>
                              <w:autoSpaceDE w:val="0"/>
                              <w:autoSpaceDN w:val="0"/>
                              <w:adjustRightInd w:val="0"/>
                              <w:rPr>
                                <w:rFonts w:ascii="Courier New" w:hAnsi="Courier New" w:cs="Courier New"/>
                                <w:sz w:val="18"/>
                                <w:szCs w:val="18"/>
                              </w:rPr>
                            </w:pPr>
                            <w:r w:rsidRPr="000B5DC2">
                              <w:rPr>
                                <w:rFonts w:ascii="Courier New" w:hAnsi="Courier New" w:cs="Courier New"/>
                                <w:sz w:val="18"/>
                                <w:szCs w:val="18"/>
                              </w:rPr>
                              <w:t xml:space="preserve">  Ji cuadrado con 28 grados de libertad = 127,4972    (p = 0,0000)</w:t>
                            </w:r>
                          </w:p>
                          <w:p w:rsidR="0044221C" w:rsidRPr="000B5DC2" w:rsidRDefault="0044221C" w:rsidP="00C446F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0;margin-top:2.45pt;width:522pt;height:20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HdLQIAAEwEAAAOAAAAZHJzL2Uyb0RvYy54bWysVNuO0zAQfUfiHyy/01xoyzZqulp1KUJa&#10;YMXCB7iOk1g4HjN2m5a/4Vv4MSZOt5SLeEDkwfJ4xsdnzsxkeX3oDNsr9BpsybNJypmyEiptm5J/&#10;/LB5dsWZD8JWwoBVJT8qz69XT58se1eoHFowlUJGINYXvSt5G4IrksTLVnXCT8ApS84asBOBTGyS&#10;CkVP6J1J8jSdJz1g5RCk8p5Ob0cnX0X8ulYyvKtrrwIzJSduIa4Y1+2wJqulKBoUrtXyREP8A4tO&#10;aEuPnqFuRRBsh/o3qE5LBA91mEjoEqhrLVXMgbLJ0l+yeWiFUzEXEse7s0z+/8HKt/t7ZLoqeT7j&#10;zIqOavSeVPv21TY7A4xOSaLe+YIiH9w9Dkl6dwfyk2cW1q2wjbpBhL5VoiJi2RCf/HRhMDxdZdv+&#10;DVT0gNgFiGodauwGQNKBHWJRjueiqENgkg7n83wxTal2knz5PHuejpwSUTxed+jDKwUdGzYlR+If&#10;4cX+zoeBjigeQyJ9MLraaGOigc12bZDtBXXIJn4xA8ryMsxY1pd8MaO3/w6Rxu9PEJ0O1OpGdyW/&#10;OgeJYtDtpa1iIwahzbgnysaehBy0G2sQDtvDqRxbqI4kKcLY0jSCtGkBv3DWUzuX3H/eCVScmdeW&#10;yrLIptOh/6Mxnb3IycBLz/bSI6wkqJIHzsbtOowzs3Oom5ZeyqIMFm6olLWOIg9lHlmdeFPLRu1P&#10;4zXMxKUdo378BFbfAQAA//8DAFBLAwQUAAYACAAAACEABafoNtwAAAAHAQAADwAAAGRycy9kb3du&#10;cmV2LnhtbEyPwU7DMBBE70j8g7VI3KjTElU0xKkQqEgc2/TCbRMvSSBeR7HTBr6e7QmOM7OaeZtv&#10;Z9erE42h82xguUhAEdfedtwYOJa7uwdQISJb7D2TgW8KsC2ur3LMrD/znk6H2Cgp4ZChgTbGIdM6&#10;1C05DAs/EEv24UeHUeTYaDviWcpdr1dJstYOO5aFFgd6bqn+OkzOQNWtjvizL18Tt9ndx7e5/Jze&#10;X4y5vZmfHkFFmuPfMVzwBR0KYar8xDao3oA8Eg2kG1CXMElTMSoxlusUdJHr//zFLwAAAP//AwBQ&#10;SwECLQAUAAYACAAAACEAtoM4kv4AAADhAQAAEwAAAAAAAAAAAAAAAAAAAAAAW0NvbnRlbnRfVHlw&#10;ZXNdLnhtbFBLAQItABQABgAIAAAAIQA4/SH/1gAAAJQBAAALAAAAAAAAAAAAAAAAAC8BAABfcmVs&#10;cy8ucmVsc1BLAQItABQABgAIAAAAIQDfo8HdLQIAAEwEAAAOAAAAAAAAAAAAAAAAAC4CAABkcnMv&#10;ZTJvRG9jLnhtbFBLAQItABQABgAIAAAAIQAFp+g23AAAAAcBAAAPAAAAAAAAAAAAAAAAAIcEAABk&#10;cnMvZG93bnJldi54bWxQSwUGAAAAAAQABADzAAAAkAUAAAAA&#10;">
                <v:textbox>
                  <w:txbxContent>
                    <w:p w:rsidR="0044221C" w:rsidRPr="000B5DC2" w:rsidRDefault="0044221C" w:rsidP="00C446F4">
                      <w:pPr>
                        <w:autoSpaceDE w:val="0"/>
                        <w:autoSpaceDN w:val="0"/>
                        <w:adjustRightInd w:val="0"/>
                        <w:rPr>
                          <w:rFonts w:ascii="Courier New" w:hAnsi="Courier New" w:cs="Courier New"/>
                          <w:b/>
                          <w:sz w:val="18"/>
                          <w:szCs w:val="18"/>
                        </w:rPr>
                      </w:pPr>
                      <w:r w:rsidRPr="000B5DC2">
                        <w:rPr>
                          <w:rFonts w:ascii="Courier New" w:hAnsi="Courier New" w:cs="Courier New"/>
                          <w:b/>
                          <w:sz w:val="18"/>
                          <w:szCs w:val="18"/>
                        </w:rPr>
                        <w:t>Matriz de coeficientes de correlación simple</w:t>
                      </w:r>
                    </w:p>
                    <w:p w:rsidR="0044221C" w:rsidRPr="000B5DC2" w:rsidRDefault="0044221C" w:rsidP="00C446F4">
                      <w:pPr>
                        <w:autoSpaceDE w:val="0"/>
                        <w:autoSpaceDN w:val="0"/>
                        <w:adjustRightInd w:val="0"/>
                        <w:rPr>
                          <w:rFonts w:ascii="Courier New" w:hAnsi="Courier New" w:cs="Courier New"/>
                          <w:sz w:val="18"/>
                          <w:szCs w:val="18"/>
                        </w:rPr>
                      </w:pP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rPr>
                        <w:t xml:space="preserve">              </w:t>
                      </w:r>
                      <w:r w:rsidRPr="000B5DC2">
                        <w:rPr>
                          <w:rFonts w:ascii="Courier New" w:hAnsi="Courier New" w:cs="Courier New"/>
                          <w:sz w:val="18"/>
                          <w:szCs w:val="18"/>
                          <w:lang w:val="en-GB"/>
                        </w:rPr>
                        <w:t xml:space="preserve">W        P        TR       CVAB     I        C        TP       V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              -------- -------- -------- -------- -------- -------- -------- --------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W              1,0000   0,9852   0,9630   0,9423  -0,2905  -0,8352  -0,0645   0,9468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P              0,9852   1,0000   0,9252   0,9487  -0,2155  -0,7512  -0,1488   0,9490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TR             0,9630   0,9252   1,0000   0,9402  -0,4947  -0,8847   0,1966   0,8565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CVAB           0,9423   0,9487   0,9402   1,0000  -0,4223  -0,7101   0,0838   0,8902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I             -0,2905  -0,2155  -0,4947  -0,4223   1,0000   0,3294  -0,7536  -0,2086  </w:t>
                      </w:r>
                    </w:p>
                    <w:p w:rsidR="0044221C" w:rsidRPr="000B5DC2" w:rsidRDefault="0044221C" w:rsidP="00C446F4">
                      <w:pPr>
                        <w:autoSpaceDE w:val="0"/>
                        <w:autoSpaceDN w:val="0"/>
                        <w:adjustRightInd w:val="0"/>
                        <w:rPr>
                          <w:rFonts w:ascii="Courier New" w:hAnsi="Courier New" w:cs="Courier New"/>
                          <w:sz w:val="18"/>
                          <w:szCs w:val="18"/>
                          <w:lang w:val="en-GB"/>
                        </w:rPr>
                      </w:pPr>
                      <w:r w:rsidRPr="000B5DC2">
                        <w:rPr>
                          <w:rFonts w:ascii="Courier New" w:hAnsi="Courier New" w:cs="Courier New"/>
                          <w:sz w:val="18"/>
                          <w:szCs w:val="18"/>
                          <w:lang w:val="en-GB"/>
                        </w:rPr>
                        <w:t xml:space="preserve">C             -0,8352  -0,7512  -0,8847  -0,7101   0,3294   1,0000  -0,2415  -0,6536  </w:t>
                      </w:r>
                    </w:p>
                    <w:p w:rsidR="0044221C" w:rsidRPr="00C446F4" w:rsidRDefault="0044221C" w:rsidP="00C446F4">
                      <w:pPr>
                        <w:autoSpaceDE w:val="0"/>
                        <w:autoSpaceDN w:val="0"/>
                        <w:adjustRightInd w:val="0"/>
                        <w:rPr>
                          <w:rFonts w:ascii="Courier New" w:hAnsi="Courier New" w:cs="Courier New"/>
                          <w:sz w:val="18"/>
                          <w:szCs w:val="18"/>
                        </w:rPr>
                      </w:pPr>
                      <w:r w:rsidRPr="00C446F4">
                        <w:rPr>
                          <w:rFonts w:ascii="Courier New" w:hAnsi="Courier New" w:cs="Courier New"/>
                          <w:sz w:val="18"/>
                          <w:szCs w:val="18"/>
                        </w:rPr>
                        <w:t xml:space="preserve">TP            -0,0645  -0,1488   0,1966   0,0838  -0,7536  -0,2415   1,0000  -0,2695  </w:t>
                      </w:r>
                    </w:p>
                    <w:p w:rsidR="0044221C" w:rsidRPr="00C446F4" w:rsidRDefault="0044221C" w:rsidP="00C446F4">
                      <w:pPr>
                        <w:autoSpaceDE w:val="0"/>
                        <w:autoSpaceDN w:val="0"/>
                        <w:adjustRightInd w:val="0"/>
                        <w:rPr>
                          <w:rFonts w:ascii="Courier New" w:hAnsi="Courier New" w:cs="Courier New"/>
                          <w:sz w:val="18"/>
                          <w:szCs w:val="18"/>
                        </w:rPr>
                      </w:pPr>
                      <w:r w:rsidRPr="00C446F4">
                        <w:rPr>
                          <w:rFonts w:ascii="Courier New" w:hAnsi="Courier New" w:cs="Courier New"/>
                          <w:sz w:val="18"/>
                          <w:szCs w:val="18"/>
                        </w:rPr>
                        <w:t xml:space="preserve">V              0,9468   0,9490   0,8565   0,8902  -0,2086  -0,6536  -0,2695   1,0000  </w:t>
                      </w:r>
                    </w:p>
                    <w:p w:rsidR="0044221C" w:rsidRPr="00C446F4" w:rsidRDefault="0044221C" w:rsidP="00C446F4">
                      <w:pPr>
                        <w:autoSpaceDE w:val="0"/>
                        <w:autoSpaceDN w:val="0"/>
                        <w:adjustRightInd w:val="0"/>
                        <w:rPr>
                          <w:rFonts w:ascii="Courier New" w:hAnsi="Courier New" w:cs="Courier New"/>
                          <w:sz w:val="18"/>
                          <w:szCs w:val="18"/>
                        </w:rPr>
                      </w:pPr>
                    </w:p>
                    <w:p w:rsidR="0044221C" w:rsidRPr="00C446F4" w:rsidRDefault="0044221C" w:rsidP="00C446F4">
                      <w:pPr>
                        <w:autoSpaceDE w:val="0"/>
                        <w:autoSpaceDN w:val="0"/>
                        <w:adjustRightInd w:val="0"/>
                        <w:rPr>
                          <w:rFonts w:ascii="Courier New" w:hAnsi="Courier New" w:cs="Courier New"/>
                          <w:sz w:val="18"/>
                          <w:szCs w:val="18"/>
                        </w:rPr>
                      </w:pPr>
                    </w:p>
                    <w:p w:rsidR="0044221C" w:rsidRPr="00C446F4" w:rsidRDefault="0044221C" w:rsidP="00C446F4">
                      <w:pPr>
                        <w:autoSpaceDE w:val="0"/>
                        <w:autoSpaceDN w:val="0"/>
                        <w:adjustRightInd w:val="0"/>
                        <w:rPr>
                          <w:rFonts w:ascii="Courier New" w:hAnsi="Courier New" w:cs="Courier New"/>
                          <w:b/>
                          <w:sz w:val="18"/>
                          <w:szCs w:val="18"/>
                        </w:rPr>
                      </w:pPr>
                      <w:r w:rsidRPr="00C446F4">
                        <w:rPr>
                          <w:rFonts w:ascii="Courier New" w:hAnsi="Courier New" w:cs="Courier New"/>
                          <w:b/>
                          <w:sz w:val="18"/>
                          <w:szCs w:val="18"/>
                        </w:rPr>
                        <w:t xml:space="preserve">Test de Bartlett  </w:t>
                      </w:r>
                    </w:p>
                    <w:p w:rsidR="0044221C" w:rsidRPr="00C446F4" w:rsidRDefault="0044221C" w:rsidP="00C446F4">
                      <w:pPr>
                        <w:autoSpaceDE w:val="0"/>
                        <w:autoSpaceDN w:val="0"/>
                        <w:adjustRightInd w:val="0"/>
                        <w:rPr>
                          <w:rFonts w:ascii="Courier New" w:hAnsi="Courier New" w:cs="Courier New"/>
                          <w:b/>
                          <w:sz w:val="18"/>
                          <w:szCs w:val="18"/>
                        </w:rPr>
                      </w:pPr>
                    </w:p>
                    <w:p w:rsidR="0044221C" w:rsidRPr="000B5DC2" w:rsidRDefault="0044221C" w:rsidP="00C446F4">
                      <w:pPr>
                        <w:autoSpaceDE w:val="0"/>
                        <w:autoSpaceDN w:val="0"/>
                        <w:adjustRightInd w:val="0"/>
                        <w:rPr>
                          <w:rFonts w:ascii="Courier New" w:hAnsi="Courier New" w:cs="Courier New"/>
                          <w:sz w:val="18"/>
                          <w:szCs w:val="18"/>
                        </w:rPr>
                      </w:pPr>
                      <w:r w:rsidRPr="000B5DC2">
                        <w:rPr>
                          <w:rFonts w:ascii="Courier New" w:hAnsi="Courier New" w:cs="Courier New"/>
                          <w:sz w:val="18"/>
                          <w:szCs w:val="18"/>
                        </w:rPr>
                        <w:t xml:space="preserve">  Determinante de la matriz de correlación = 0,000000</w:t>
                      </w:r>
                    </w:p>
                    <w:p w:rsidR="0044221C" w:rsidRPr="000B5DC2" w:rsidRDefault="0044221C" w:rsidP="00C446F4">
                      <w:pPr>
                        <w:autoSpaceDE w:val="0"/>
                        <w:autoSpaceDN w:val="0"/>
                        <w:adjustRightInd w:val="0"/>
                        <w:rPr>
                          <w:rFonts w:ascii="Courier New" w:hAnsi="Courier New" w:cs="Courier New"/>
                          <w:sz w:val="18"/>
                          <w:szCs w:val="18"/>
                        </w:rPr>
                      </w:pPr>
                      <w:r w:rsidRPr="000B5DC2">
                        <w:rPr>
                          <w:rFonts w:ascii="Courier New" w:hAnsi="Courier New" w:cs="Courier New"/>
                          <w:sz w:val="18"/>
                          <w:szCs w:val="18"/>
                        </w:rPr>
                        <w:t xml:space="preserve">  Ji cuadrado con 28 grados de libertad = 127,4972    (p = 0,0000)</w:t>
                      </w:r>
                    </w:p>
                    <w:p w:rsidR="0044221C" w:rsidRPr="000B5DC2" w:rsidRDefault="0044221C" w:rsidP="00C446F4">
                      <w:pPr>
                        <w:rPr>
                          <w:sz w:val="16"/>
                          <w:szCs w:val="16"/>
                        </w:rPr>
                      </w:pPr>
                    </w:p>
                  </w:txbxContent>
                </v:textbox>
              </v:rect>
            </w:pict>
          </mc:Fallback>
        </mc:AlternateContent>
      </w:r>
    </w:p>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Pr>
        <w:jc w:val="center"/>
        <w:rPr>
          <w:szCs w:val="22"/>
        </w:rPr>
      </w:pPr>
    </w:p>
    <w:p w:rsidR="00FA5E38" w:rsidRDefault="00FA5E38" w:rsidP="00C446F4">
      <w:pPr>
        <w:jc w:val="center"/>
        <w:rPr>
          <w:szCs w:val="22"/>
        </w:rPr>
      </w:pPr>
    </w:p>
    <w:p w:rsidR="00C446F4" w:rsidRPr="00FA5E38" w:rsidRDefault="00C446F4" w:rsidP="00C446F4">
      <w:pPr>
        <w:jc w:val="center"/>
        <w:rPr>
          <w:b/>
          <w:sz w:val="20"/>
          <w:szCs w:val="22"/>
        </w:rPr>
      </w:pPr>
      <w:r w:rsidRPr="00FA5E38">
        <w:rPr>
          <w:b/>
          <w:sz w:val="20"/>
          <w:szCs w:val="22"/>
        </w:rPr>
        <w:t>Fuente: Elaboración propia</w:t>
      </w:r>
    </w:p>
    <w:p w:rsidR="00C446F4" w:rsidRDefault="00C446F4" w:rsidP="00C446F4">
      <w:pPr>
        <w:jc w:val="both"/>
      </w:pPr>
    </w:p>
    <w:p w:rsidR="00C446F4" w:rsidRDefault="00C446F4" w:rsidP="00C446F4">
      <w:pPr>
        <w:jc w:val="both"/>
      </w:pPr>
      <w:r>
        <w:t xml:space="preserve">Se observa que la probabilidad de aceptar la hipótesis nula es de 0, por lo que se rechaza. Esto implica la necesidad de realizar un análisis de componentes principales para solucionar el problema de </w:t>
      </w:r>
      <w:proofErr w:type="spellStart"/>
      <w:r>
        <w:t>multicolinealidad</w:t>
      </w:r>
      <w:proofErr w:type="spellEnd"/>
      <w:r>
        <w:t xml:space="preserve"> del modelo inicialmente especificado. </w:t>
      </w:r>
    </w:p>
    <w:p w:rsidR="00C446F4" w:rsidRDefault="00C446F4" w:rsidP="00C446F4">
      <w:pPr>
        <w:jc w:val="both"/>
      </w:pPr>
    </w:p>
    <w:p w:rsidR="00C446F4" w:rsidRDefault="00C446F4" w:rsidP="00C446F4">
      <w:pPr>
        <w:rPr>
          <w:b/>
        </w:rPr>
      </w:pPr>
    </w:p>
    <w:p w:rsidR="00FA5E38" w:rsidRDefault="00FA5E38" w:rsidP="00C446F4">
      <w:pPr>
        <w:rPr>
          <w:b/>
        </w:rPr>
      </w:pPr>
    </w:p>
    <w:p w:rsidR="00FA5E38" w:rsidRDefault="00FA5E38" w:rsidP="00C446F4">
      <w:pPr>
        <w:rPr>
          <w:b/>
        </w:rPr>
      </w:pPr>
    </w:p>
    <w:p w:rsidR="00FA5E38" w:rsidRDefault="00FA5E38" w:rsidP="00C446F4">
      <w:pPr>
        <w:rPr>
          <w:b/>
        </w:rPr>
      </w:pPr>
    </w:p>
    <w:p w:rsidR="00FA5E38" w:rsidRDefault="00FA5E38" w:rsidP="00C446F4">
      <w:pPr>
        <w:rPr>
          <w:b/>
        </w:rPr>
      </w:pPr>
    </w:p>
    <w:p w:rsidR="00FA5E38" w:rsidRDefault="00FA5E38" w:rsidP="00C446F4">
      <w:pPr>
        <w:rPr>
          <w:b/>
        </w:rPr>
      </w:pPr>
    </w:p>
    <w:p w:rsidR="00FA5E38" w:rsidRDefault="00FA5E38" w:rsidP="00C446F4">
      <w:pPr>
        <w:rPr>
          <w:b/>
        </w:rPr>
      </w:pPr>
    </w:p>
    <w:p w:rsidR="00FA5E38" w:rsidRDefault="00FA5E38" w:rsidP="00C446F4">
      <w:pPr>
        <w:rPr>
          <w:b/>
        </w:rPr>
      </w:pPr>
    </w:p>
    <w:p w:rsidR="00FA5E38" w:rsidRDefault="00FA5E38" w:rsidP="00C446F4">
      <w:pPr>
        <w:rPr>
          <w:b/>
        </w:rPr>
      </w:pPr>
    </w:p>
    <w:p w:rsidR="00FA5E38" w:rsidRDefault="00FA5E38" w:rsidP="00C446F4">
      <w:pPr>
        <w:rPr>
          <w:b/>
        </w:rPr>
      </w:pPr>
    </w:p>
    <w:p w:rsidR="00FA5E38" w:rsidRDefault="00FA5E38" w:rsidP="00C446F4">
      <w:pPr>
        <w:rPr>
          <w:b/>
        </w:rPr>
      </w:pPr>
    </w:p>
    <w:p w:rsidR="00C446F4" w:rsidRDefault="00C446F4" w:rsidP="00C446F4">
      <w:pPr>
        <w:jc w:val="center"/>
        <w:rPr>
          <w:b/>
        </w:rPr>
      </w:pPr>
      <w:r>
        <w:rPr>
          <w:noProof/>
          <w:lang w:val="es-ES_tradnl" w:eastAsia="es-ES_tradnl"/>
        </w:rPr>
        <mc:AlternateContent>
          <mc:Choice Requires="wps">
            <w:drawing>
              <wp:anchor distT="0" distB="0" distL="114300" distR="114300" simplePos="0" relativeHeight="251660288" behindDoc="0" locked="0" layoutInCell="1" allowOverlap="1" wp14:anchorId="258A1957" wp14:editId="3DFAE5F0">
                <wp:simplePos x="0" y="0"/>
                <wp:positionH relativeFrom="column">
                  <wp:posOffset>-800100</wp:posOffset>
                </wp:positionH>
                <wp:positionV relativeFrom="paragraph">
                  <wp:posOffset>160020</wp:posOffset>
                </wp:positionV>
                <wp:extent cx="6972300" cy="8069580"/>
                <wp:effectExtent l="13335" t="12065" r="5715" b="508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69580"/>
                        </a:xfrm>
                        <a:prstGeom prst="rect">
                          <a:avLst/>
                        </a:prstGeom>
                        <a:solidFill>
                          <a:srgbClr val="FFFFFF"/>
                        </a:solidFill>
                        <a:ln w="9525">
                          <a:solidFill>
                            <a:srgbClr val="000000"/>
                          </a:solidFill>
                          <a:miter lim="800000"/>
                          <a:headEnd/>
                          <a:tailEnd/>
                        </a:ln>
                      </wps:spPr>
                      <wps:txbx>
                        <w:txbxContent>
                          <w:p w:rsidR="0044221C" w:rsidRPr="00F34720" w:rsidRDefault="0044221C" w:rsidP="00C446F4">
                            <w:pPr>
                              <w:autoSpaceDE w:val="0"/>
                              <w:autoSpaceDN w:val="0"/>
                              <w:adjustRightInd w:val="0"/>
                              <w:rPr>
                                <w:rFonts w:ascii="Courier New" w:hAnsi="Courier New" w:cs="Courier New"/>
                                <w:b/>
                                <w:sz w:val="18"/>
                                <w:szCs w:val="18"/>
                              </w:rPr>
                            </w:pPr>
                            <w:r w:rsidRPr="00F34720">
                              <w:rPr>
                                <w:rFonts w:ascii="Courier New" w:hAnsi="Courier New" w:cs="Courier New"/>
                                <w:b/>
                                <w:sz w:val="18"/>
                                <w:szCs w:val="18"/>
                              </w:rPr>
                              <w:t>IDENTIFICACIÓN DE LAS VARIABLES</w:t>
                            </w: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1 :</w:t>
                            </w:r>
                            <w:proofErr w:type="gramEnd"/>
                            <w:r w:rsidRPr="00A337F3">
                              <w:rPr>
                                <w:rFonts w:ascii="Courier New" w:hAnsi="Courier New" w:cs="Courier New"/>
                                <w:sz w:val="18"/>
                                <w:szCs w:val="18"/>
                              </w:rPr>
                              <w:t xml:space="preserve"> W        - W</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2 :</w:t>
                            </w:r>
                            <w:proofErr w:type="gramEnd"/>
                            <w:r w:rsidRPr="00A337F3">
                              <w:rPr>
                                <w:rFonts w:ascii="Courier New" w:hAnsi="Courier New" w:cs="Courier New"/>
                                <w:sz w:val="18"/>
                                <w:szCs w:val="18"/>
                              </w:rPr>
                              <w:t xml:space="preserve"> P        - P</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3 :</w:t>
                            </w:r>
                            <w:proofErr w:type="gramEnd"/>
                            <w:r w:rsidRPr="00A337F3">
                              <w:rPr>
                                <w:rFonts w:ascii="Courier New" w:hAnsi="Courier New" w:cs="Courier New"/>
                                <w:sz w:val="18"/>
                                <w:szCs w:val="18"/>
                              </w:rPr>
                              <w:t xml:space="preserve"> TR       - TR</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4 :</w:t>
                            </w:r>
                            <w:proofErr w:type="gramEnd"/>
                            <w:r w:rsidRPr="00A337F3">
                              <w:rPr>
                                <w:rFonts w:ascii="Courier New" w:hAnsi="Courier New" w:cs="Courier New"/>
                                <w:sz w:val="18"/>
                                <w:szCs w:val="18"/>
                              </w:rPr>
                              <w:t xml:space="preserve"> CVAB     - Créditos/VAB</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5 :</w:t>
                            </w:r>
                            <w:proofErr w:type="gramEnd"/>
                            <w:r w:rsidRPr="00A337F3">
                              <w:rPr>
                                <w:rFonts w:ascii="Courier New" w:hAnsi="Courier New" w:cs="Courier New"/>
                                <w:sz w:val="18"/>
                                <w:szCs w:val="18"/>
                              </w:rPr>
                              <w:t xml:space="preserve"> I        - Tasa de Inflación</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6 :</w:t>
                            </w:r>
                            <w:proofErr w:type="gramEnd"/>
                            <w:r w:rsidRPr="00A337F3">
                              <w:rPr>
                                <w:rFonts w:ascii="Courier New" w:hAnsi="Courier New" w:cs="Courier New"/>
                                <w:sz w:val="18"/>
                                <w:szCs w:val="18"/>
                              </w:rPr>
                              <w:t xml:space="preserve"> C        - Confianza</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7 :</w:t>
                            </w:r>
                            <w:proofErr w:type="gramEnd"/>
                            <w:r w:rsidRPr="00A337F3">
                              <w:rPr>
                                <w:rFonts w:ascii="Courier New" w:hAnsi="Courier New" w:cs="Courier New"/>
                                <w:sz w:val="18"/>
                                <w:szCs w:val="18"/>
                              </w:rPr>
                              <w:t xml:space="preserve"> TP       - Tasa de Paro</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8 :</w:t>
                            </w:r>
                            <w:proofErr w:type="gramEnd"/>
                            <w:r w:rsidRPr="00A337F3">
                              <w:rPr>
                                <w:rFonts w:ascii="Courier New" w:hAnsi="Courier New" w:cs="Courier New"/>
                                <w:sz w:val="18"/>
                                <w:szCs w:val="18"/>
                              </w:rPr>
                              <w:t xml:space="preserve"> V        - Precio Medio Vivie</w:t>
                            </w:r>
                            <w:r>
                              <w:rPr>
                                <w:rFonts w:ascii="Courier New" w:hAnsi="Courier New" w:cs="Courier New"/>
                                <w:sz w:val="18"/>
                                <w:szCs w:val="18"/>
                              </w:rPr>
                              <w:t>n</w:t>
                            </w:r>
                            <w:r w:rsidRPr="00A337F3">
                              <w:rPr>
                                <w:rFonts w:ascii="Courier New" w:hAnsi="Courier New" w:cs="Courier New"/>
                                <w:sz w:val="18"/>
                                <w:szCs w:val="18"/>
                              </w:rPr>
                              <w:t>da</w:t>
                            </w: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rPr>
                              <w:t xml:space="preserve">              </w:t>
                            </w:r>
                            <w:r w:rsidRPr="00F34720">
                              <w:rPr>
                                <w:rFonts w:ascii="Courier New" w:hAnsi="Courier New" w:cs="Courier New"/>
                                <w:b/>
                                <w:sz w:val="18"/>
                                <w:szCs w:val="18"/>
                                <w:lang w:val="pt-BR"/>
                              </w:rPr>
                              <w:t xml:space="preserve">FACTOR </w:t>
                            </w:r>
                            <w:proofErr w:type="gramStart"/>
                            <w:r w:rsidRPr="00F34720">
                              <w:rPr>
                                <w:rFonts w:ascii="Courier New" w:hAnsi="Courier New" w:cs="Courier New"/>
                                <w:b/>
                                <w:sz w:val="18"/>
                                <w:szCs w:val="18"/>
                                <w:lang w:val="pt-BR"/>
                              </w:rPr>
                              <w:t>1</w:t>
                            </w:r>
                            <w:proofErr w:type="gramEnd"/>
                            <w:r w:rsidRPr="00F34720">
                              <w:rPr>
                                <w:rFonts w:ascii="Courier New" w:hAnsi="Courier New" w:cs="Courier New"/>
                                <w:b/>
                                <w:sz w:val="18"/>
                                <w:szCs w:val="18"/>
                                <w:lang w:val="pt-BR"/>
                              </w:rPr>
                              <w:t xml:space="preserve"> FACTOR 2 FACTOR 3</w:t>
                            </w:r>
                            <w:r w:rsidRPr="00A337F3">
                              <w:rPr>
                                <w:rFonts w:ascii="Courier New" w:hAnsi="Courier New" w:cs="Courier New"/>
                                <w:sz w:val="18"/>
                                <w:szCs w:val="18"/>
                                <w:lang w:val="pt-BR"/>
                              </w:rPr>
                              <w:t xml:space="preserve"> FACTOR 4 FACTOR 5 FACTOR 6 FACTOR 7 FACTOR 8 </w:t>
                            </w: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lang w:val="pt-BR"/>
                              </w:rPr>
                              <w:t xml:space="preserve">              -------- -------- -------- -------- -------- -------- -------- -------- </w:t>
                            </w: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lang w:val="pt-BR"/>
                              </w:rPr>
                              <w:t>VALOR PROPIO:</w:t>
                            </w:r>
                            <w:proofErr w:type="gramStart"/>
                            <w:r w:rsidRPr="00A337F3">
                              <w:rPr>
                                <w:rFonts w:ascii="Courier New" w:hAnsi="Courier New" w:cs="Courier New"/>
                                <w:sz w:val="18"/>
                                <w:szCs w:val="18"/>
                                <w:lang w:val="pt-BR"/>
                              </w:rPr>
                              <w:t xml:space="preserve">  </w:t>
                            </w:r>
                            <w:proofErr w:type="gramEnd"/>
                            <w:r w:rsidRPr="00A337F3">
                              <w:rPr>
                                <w:rFonts w:ascii="Courier New" w:hAnsi="Courier New" w:cs="Courier New"/>
                                <w:sz w:val="18"/>
                                <w:szCs w:val="18"/>
                                <w:lang w:val="pt-BR"/>
                              </w:rPr>
                              <w:t xml:space="preserve">5,5543   1,8265   0,4432   0,1398   0,0240   0,0093   0,0026   0,0002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DE VARIANZA</w:t>
                            </w:r>
                            <w:proofErr w:type="gramStart"/>
                            <w:r w:rsidRPr="00A337F3">
                              <w:rPr>
                                <w:rFonts w:ascii="Courier New" w:hAnsi="Courier New" w:cs="Courier New"/>
                                <w:sz w:val="18"/>
                                <w:szCs w:val="18"/>
                              </w:rPr>
                              <w:t>:  69,43</w:t>
                            </w:r>
                            <w:proofErr w:type="gramEnd"/>
                            <w:r w:rsidRPr="00A337F3">
                              <w:rPr>
                                <w:rFonts w:ascii="Courier New" w:hAnsi="Courier New" w:cs="Courier New"/>
                                <w:sz w:val="18"/>
                                <w:szCs w:val="18"/>
                              </w:rPr>
                              <w:t xml:space="preserve">%   22,83%    5,54%    1,75%    0,30%    0,12%    0,03%    0,00%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VAR.ACUMUL.</w:t>
                            </w:r>
                            <w:proofErr w:type="gramStart"/>
                            <w:r w:rsidRPr="00A337F3">
                              <w:rPr>
                                <w:rFonts w:ascii="Courier New" w:hAnsi="Courier New" w:cs="Courier New"/>
                                <w:sz w:val="18"/>
                                <w:szCs w:val="18"/>
                              </w:rPr>
                              <w:t>:  69,43</w:t>
                            </w:r>
                            <w:proofErr w:type="gramEnd"/>
                            <w:r w:rsidRPr="00A337F3">
                              <w:rPr>
                                <w:rFonts w:ascii="Courier New" w:hAnsi="Courier New" w:cs="Courier New"/>
                                <w:sz w:val="18"/>
                                <w:szCs w:val="18"/>
                              </w:rPr>
                              <w:t xml:space="preserve">%   92,26%   97,80%   99,55%   99,85%   99,97%  100,00%  100,00% </w:t>
                            </w:r>
                          </w:p>
                          <w:p w:rsidR="0044221C" w:rsidRPr="00A337F3" w:rsidRDefault="0044221C" w:rsidP="00C446F4">
                            <w:pPr>
                              <w:autoSpaceDE w:val="0"/>
                              <w:autoSpaceDN w:val="0"/>
                              <w:adjustRightInd w:val="0"/>
                              <w:rPr>
                                <w:rFonts w:ascii="Courier New" w:hAnsi="Courier New" w:cs="Courier New"/>
                                <w:sz w:val="18"/>
                                <w:szCs w:val="18"/>
                              </w:rPr>
                            </w:pPr>
                          </w:p>
                          <w:p w:rsidR="0044221C" w:rsidRPr="00F34720" w:rsidRDefault="0044221C" w:rsidP="00C446F4">
                            <w:pPr>
                              <w:autoSpaceDE w:val="0"/>
                              <w:autoSpaceDN w:val="0"/>
                              <w:adjustRightInd w:val="0"/>
                              <w:rPr>
                                <w:rFonts w:ascii="Courier New" w:hAnsi="Courier New" w:cs="Courier New"/>
                                <w:b/>
                                <w:sz w:val="18"/>
                                <w:szCs w:val="18"/>
                              </w:rPr>
                            </w:pPr>
                            <w:r w:rsidRPr="00F34720">
                              <w:rPr>
                                <w:rFonts w:ascii="Courier New" w:hAnsi="Courier New" w:cs="Courier New"/>
                                <w:b/>
                                <w:sz w:val="18"/>
                                <w:szCs w:val="18"/>
                              </w:rPr>
                              <w:t>CARGAS DE</w:t>
                            </w:r>
                          </w:p>
                          <w:p w:rsidR="0044221C" w:rsidRPr="00A337F3" w:rsidRDefault="0044221C" w:rsidP="00C446F4">
                            <w:pPr>
                              <w:autoSpaceDE w:val="0"/>
                              <w:autoSpaceDN w:val="0"/>
                              <w:adjustRightInd w:val="0"/>
                              <w:rPr>
                                <w:rFonts w:ascii="Courier New" w:hAnsi="Courier New" w:cs="Courier New"/>
                                <w:sz w:val="18"/>
                                <w:szCs w:val="18"/>
                              </w:rPr>
                            </w:pPr>
                            <w:r w:rsidRPr="00F34720">
                              <w:rPr>
                                <w:rFonts w:ascii="Courier New" w:hAnsi="Courier New" w:cs="Courier New"/>
                                <w:b/>
                                <w:sz w:val="18"/>
                                <w:szCs w:val="18"/>
                              </w:rPr>
                              <w:t xml:space="preserve">LOS FACTORES:                                                                         </w:t>
                            </w:r>
                            <w:r w:rsidRPr="00A337F3">
                              <w:rPr>
                                <w:rFonts w:ascii="Courier New" w:hAnsi="Courier New" w:cs="Courier New"/>
                                <w:sz w:val="18"/>
                                <w:szCs w:val="18"/>
                              </w:rPr>
                              <w:t>COMUNALIDAD</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W              0,9887   0,1447  -0,0290   0,0134   0,0073   0,0090  -0,0117   0,0133     1,0000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P              0,9637   0,2331   0,0452  -0,0869   0,0672   0,0485  -0,0198  -0,0060     1,0000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TR             0,9896  -0,1183  -0,0605   0,0013   0,0248   0,0220   0,0432   0,0000     1,0000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CVAB           0,9616  -0,0017   0,1630  -0,2111  -0,0033  -0,0646   0,0005  -0,0013     1,0000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I             -0,4211   0,8222  -0,3324  -0,1847  -0,0419   0,0125   0,0058   0,0006     1,0000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C             -0,8485   0,1355   0,4935  -0,1308  -0,0004   0,0309   0,0093   0,0035     1,0000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TP             0,0753  -0,9725  -0,1368  -0,1596  -0,0587   0,0301  -0,0061   0,0005     1,0000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              0,9170   0,3114   0,1933   0,1041  -0,1167   0,0152  -0,0020  -0,0031     1,0000  </w:t>
                            </w: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rPr>
                            </w:pPr>
                          </w:p>
                          <w:p w:rsidR="0044221C" w:rsidRPr="00F34720" w:rsidRDefault="0044221C" w:rsidP="00C446F4">
                            <w:pPr>
                              <w:autoSpaceDE w:val="0"/>
                              <w:autoSpaceDN w:val="0"/>
                              <w:adjustRightInd w:val="0"/>
                              <w:rPr>
                                <w:rFonts w:ascii="Courier New" w:hAnsi="Courier New" w:cs="Courier New"/>
                                <w:b/>
                                <w:sz w:val="18"/>
                                <w:szCs w:val="18"/>
                              </w:rPr>
                            </w:pPr>
                            <w:r w:rsidRPr="00F34720">
                              <w:rPr>
                                <w:rFonts w:ascii="Courier New" w:hAnsi="Courier New" w:cs="Courier New"/>
                                <w:b/>
                                <w:sz w:val="18"/>
                                <w:szCs w:val="18"/>
                              </w:rPr>
                              <w:t>COEFICIENTES DE</w:t>
                            </w:r>
                          </w:p>
                          <w:p w:rsidR="0044221C" w:rsidRPr="00F34720" w:rsidRDefault="0044221C" w:rsidP="00C446F4">
                            <w:pPr>
                              <w:autoSpaceDE w:val="0"/>
                              <w:autoSpaceDN w:val="0"/>
                              <w:adjustRightInd w:val="0"/>
                              <w:rPr>
                                <w:rFonts w:ascii="Courier New" w:hAnsi="Courier New" w:cs="Courier New"/>
                                <w:b/>
                                <w:sz w:val="18"/>
                                <w:szCs w:val="18"/>
                              </w:rPr>
                            </w:pPr>
                            <w:r w:rsidRPr="00F34720">
                              <w:rPr>
                                <w:rFonts w:ascii="Courier New" w:hAnsi="Courier New" w:cs="Courier New"/>
                                <w:b/>
                                <w:sz w:val="18"/>
                                <w:szCs w:val="18"/>
                              </w:rPr>
                              <w:t>PUNTUACIÓN DE</w:t>
                            </w:r>
                          </w:p>
                          <w:p w:rsidR="0044221C" w:rsidRPr="00A337F3" w:rsidRDefault="0044221C" w:rsidP="00C446F4">
                            <w:pPr>
                              <w:autoSpaceDE w:val="0"/>
                              <w:autoSpaceDN w:val="0"/>
                              <w:adjustRightInd w:val="0"/>
                              <w:rPr>
                                <w:rFonts w:ascii="Courier New" w:hAnsi="Courier New" w:cs="Courier New"/>
                                <w:sz w:val="18"/>
                                <w:szCs w:val="18"/>
                              </w:rPr>
                            </w:pPr>
                            <w:r w:rsidRPr="00F34720">
                              <w:rPr>
                                <w:rFonts w:ascii="Courier New" w:hAnsi="Courier New" w:cs="Courier New"/>
                                <w:b/>
                                <w:sz w:val="18"/>
                                <w:szCs w:val="18"/>
                              </w:rPr>
                              <w:t>LOS FACTORES</w:t>
                            </w:r>
                            <w:r w:rsidRPr="00A337F3">
                              <w:rPr>
                                <w:rFonts w:ascii="Courier New" w:hAnsi="Courier New" w:cs="Courier New"/>
                                <w:sz w:val="18"/>
                                <w:szCs w:val="18"/>
                              </w:rPr>
                              <w:t>:</w:t>
                            </w: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W              0,1780   0,0792  -0,0654   0,0958   0,3051   0,9652  -4,5755  55,9468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P              0,1735   0,1276   0,1019  -0,6214   2,7992   5,1944  -7,7327  -25,263  3</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TR             0,1782  -0,0648  -0,1364   0,0096   1,0325   2,3550  16,9099  -0,1508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CVAB           0,1731  -0,0009   0,3678  -1,5099  -0,1364  -6,9205   0,1858  -5,6071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I             -0,0758   0,4502  -0,7499  -1,3206  -1,7467   1,3376   2,2856   2,4958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C             -0,1528   0,0742   1,1134  -0,9351  -0,0174   3,3135   3,6283  14,8569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TP             0,0136  -0,5324  -0,3086  -1,1416  -2,4442   3,2295  -2,4032   2,3075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V              0,1651   0,1705   0,4361   0,7447  -4,8593   1,6305  -0,7797  -13,025  8</w:t>
                            </w: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rPr>
                            </w:pPr>
                          </w:p>
                          <w:p w:rsidR="0044221C" w:rsidRDefault="0044221C" w:rsidP="00C446F4">
                            <w:pPr>
                              <w:autoSpaceDE w:val="0"/>
                              <w:autoSpaceDN w:val="0"/>
                              <w:adjustRightInd w:val="0"/>
                              <w:rPr>
                                <w:rFonts w:ascii="Courier New" w:hAnsi="Courier New" w:cs="Courier New"/>
                                <w:b/>
                                <w:sz w:val="18"/>
                                <w:szCs w:val="18"/>
                              </w:rPr>
                            </w:pPr>
                            <w:r w:rsidRPr="00F34720">
                              <w:rPr>
                                <w:rFonts w:ascii="Courier New" w:hAnsi="Courier New" w:cs="Courier New"/>
                                <w:b/>
                                <w:sz w:val="18"/>
                                <w:szCs w:val="18"/>
                              </w:rPr>
                              <w:t>Cargas de los factores retenidos:</w:t>
                            </w:r>
                          </w:p>
                          <w:p w:rsidR="0044221C" w:rsidRPr="00F34720" w:rsidRDefault="0044221C" w:rsidP="00C446F4">
                            <w:pPr>
                              <w:autoSpaceDE w:val="0"/>
                              <w:autoSpaceDN w:val="0"/>
                              <w:adjustRightInd w:val="0"/>
                              <w:rPr>
                                <w:rFonts w:ascii="Courier New" w:hAnsi="Courier New" w:cs="Courier New"/>
                                <w:b/>
                                <w:sz w:val="18"/>
                                <w:szCs w:val="18"/>
                              </w:rPr>
                            </w:pP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lang w:val="pt-BR"/>
                              </w:rPr>
                              <w:t xml:space="preserve">              FACTOR </w:t>
                            </w:r>
                            <w:proofErr w:type="gramStart"/>
                            <w:r w:rsidRPr="00A337F3">
                              <w:rPr>
                                <w:rFonts w:ascii="Courier New" w:hAnsi="Courier New" w:cs="Courier New"/>
                                <w:sz w:val="18"/>
                                <w:szCs w:val="18"/>
                                <w:lang w:val="pt-BR"/>
                              </w:rPr>
                              <w:t>1</w:t>
                            </w:r>
                            <w:proofErr w:type="gramEnd"/>
                            <w:r w:rsidRPr="00A337F3">
                              <w:rPr>
                                <w:rFonts w:ascii="Courier New" w:hAnsi="Courier New" w:cs="Courier New"/>
                                <w:sz w:val="18"/>
                                <w:szCs w:val="18"/>
                                <w:lang w:val="pt-BR"/>
                              </w:rPr>
                              <w:t xml:space="preserve"> FACTOR 2 FACTOR 3  COMUNALIDAD</w:t>
                            </w: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lang w:val="pt-BR"/>
                              </w:rPr>
                              <w:t xml:space="preserve">              -------- -------- --------</w:t>
                            </w:r>
                            <w:proofErr w:type="gramStart"/>
                            <w:r w:rsidRPr="00A337F3">
                              <w:rPr>
                                <w:rFonts w:ascii="Courier New" w:hAnsi="Courier New" w:cs="Courier New"/>
                                <w:sz w:val="18"/>
                                <w:szCs w:val="18"/>
                                <w:lang w:val="pt-BR"/>
                              </w:rPr>
                              <w:t xml:space="preserve">  </w:t>
                            </w:r>
                            <w:proofErr w:type="gramEnd"/>
                            <w:r w:rsidRPr="00A337F3">
                              <w:rPr>
                                <w:rFonts w:ascii="Courier New" w:hAnsi="Courier New" w:cs="Courier New"/>
                                <w:sz w:val="18"/>
                                <w:szCs w:val="18"/>
                                <w:lang w:val="pt-BR"/>
                              </w:rPr>
                              <w:t>-----------</w:t>
                            </w: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lang w:val="pt-BR"/>
                              </w:rPr>
                              <w:t>W              0,9887</w:t>
                            </w:r>
                            <w:proofErr w:type="gramStart"/>
                            <w:r w:rsidRPr="00A337F3">
                              <w:rPr>
                                <w:rFonts w:ascii="Courier New" w:hAnsi="Courier New" w:cs="Courier New"/>
                                <w:sz w:val="18"/>
                                <w:szCs w:val="18"/>
                                <w:lang w:val="pt-BR"/>
                              </w:rPr>
                              <w:t xml:space="preserve">   </w:t>
                            </w:r>
                            <w:proofErr w:type="gramEnd"/>
                            <w:r w:rsidRPr="00A337F3">
                              <w:rPr>
                                <w:rFonts w:ascii="Courier New" w:hAnsi="Courier New" w:cs="Courier New"/>
                                <w:sz w:val="18"/>
                                <w:szCs w:val="18"/>
                                <w:lang w:val="pt-BR"/>
                              </w:rPr>
                              <w:t xml:space="preserve">0,1447  -0,0290      0,9994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P              0,9637   0,2331   0,0452      0,9852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TR             0,9896  -0,1183  -0,0605      0,9970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CVAB           0,9616  -0,0017   0,1630      0,9512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I             -0,4211   0,8222  -0,3324      0,9639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C             -0,8485   0,1355   0,4935      0,9818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TP             0,0753  -0,9725  -0,1368      0,9701  </w:t>
                            </w:r>
                          </w:p>
                          <w:p w:rsidR="0044221C"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V              0,9170   0,3114   0,1933      0,9753  </w:t>
                            </w:r>
                          </w:p>
                          <w:p w:rsidR="0044221C" w:rsidRDefault="0044221C" w:rsidP="00C446F4">
                            <w:pPr>
                              <w:autoSpaceDE w:val="0"/>
                              <w:autoSpaceDN w:val="0"/>
                              <w:adjustRightInd w:val="0"/>
                              <w:rPr>
                                <w:rFonts w:ascii="Courier New" w:hAnsi="Courier New" w:cs="Courier New"/>
                                <w:sz w:val="18"/>
                                <w:szCs w:val="18"/>
                                <w:lang w:val="it-IT"/>
                              </w:rPr>
                            </w:pP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VARIANZA:      5,5543   1,8265   0,4432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DE VARIANZA</w:t>
                            </w:r>
                            <w:proofErr w:type="gramStart"/>
                            <w:r>
                              <w:rPr>
                                <w:rFonts w:ascii="Courier New" w:hAnsi="Courier New" w:cs="Courier New"/>
                                <w:sz w:val="20"/>
                                <w:szCs w:val="20"/>
                              </w:rPr>
                              <w:t>:  69,43</w:t>
                            </w:r>
                            <w:proofErr w:type="gramEnd"/>
                            <w:r>
                              <w:rPr>
                                <w:rFonts w:ascii="Courier New" w:hAnsi="Courier New" w:cs="Courier New"/>
                                <w:sz w:val="20"/>
                                <w:szCs w:val="20"/>
                              </w:rPr>
                              <w:t xml:space="preserve">%   22,83%    5,54%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VAR.ACUMUL.</w:t>
                            </w:r>
                            <w:proofErr w:type="gramStart"/>
                            <w:r>
                              <w:rPr>
                                <w:rFonts w:ascii="Courier New" w:hAnsi="Courier New" w:cs="Courier New"/>
                                <w:sz w:val="20"/>
                                <w:szCs w:val="20"/>
                              </w:rPr>
                              <w:t>:  69,43</w:t>
                            </w:r>
                            <w:proofErr w:type="gramEnd"/>
                            <w:r>
                              <w:rPr>
                                <w:rFonts w:ascii="Courier New" w:hAnsi="Courier New" w:cs="Courier New"/>
                                <w:sz w:val="20"/>
                                <w:szCs w:val="20"/>
                              </w:rPr>
                              <w:t xml:space="preserve">%   92,26%   97,80% </w:t>
                            </w:r>
                          </w:p>
                          <w:p w:rsidR="0044221C" w:rsidRPr="00A337F3" w:rsidRDefault="0044221C" w:rsidP="00C446F4">
                            <w:pPr>
                              <w:autoSpaceDE w:val="0"/>
                              <w:autoSpaceDN w:val="0"/>
                              <w:adjustRightInd w:val="0"/>
                              <w:rPr>
                                <w:rFonts w:ascii="Courier New" w:hAnsi="Courier New" w:cs="Courier New"/>
                                <w:sz w:val="18"/>
                                <w:szCs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7" style="position:absolute;left:0;text-align:left;margin-left:-63pt;margin-top:12.6pt;width:549pt;height:6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BANAIAAFMEAAAOAAAAZHJzL2Uyb0RvYy54bWysVFGO0zAQ/UfiDpb/adLSdtuo6WrVpQhp&#10;gRULB3AdJ7FwPGbsNi234SxcjLHb7XaBL0Q+LI9n/PzmzUwW1/vOsJ1Cr8GWfDjIOVNWQqVtU/Iv&#10;n9evZpz5IGwlDFhV8oPy/Hr58sWid4UaQQumUsgIxPqidyVvQ3BFlnnZqk74AThlyVkDdiKQiU1W&#10;oegJvTPZKM+nWQ9YOQSpvKfT26OTLxN+XSsZPta1V4GZkhO3kFZM6yau2XIhigaFa7U80RD/wKIT&#10;2tKjZ6hbEQTbov4DqtMSwUMdBhK6DOpaS5VyoGyG+W/ZPLTCqZQLiePdWSb//2Dlh909Ml2VfDTm&#10;zIqOavSJVPv5wzZbA4xOSaLe+YIiH9w9xiS9uwP51TMLq1bYRt0gQt8qURGxYYzPnl2IhqerbNO/&#10;h4oeENsASa19jV0EJB3YPhXlcC6K2gcm6XA6vxq9zql2knyzfDqfzFLZMlE8Xnfow1sFHYubkiPx&#10;T/Bid+dDpCOKx5BEH4yu1tqYZGCzWRlkO0Edsk5fyoCyvAwzlvUln09Gk4T8zOcvIfL0/Q2i04Fa&#10;3eguphG/GCSKqNsbW6V9ENoc90TZ2JOQUbtjDcJ+s0/FSipHXTdQHUhZhGNn0yTSpgX8zllPXV1y&#10;/20rUHFm3lmqznw4HscxSMZ4cjUiAy89m0uPsJKgSh44O25X4Tg6W4e6aemlYVLDwg1VtNZJ6ydW&#10;J/rUuakEpymLo3Fpp6inf8HyFwAAAP//AwBQSwMEFAAGAAgAAAAhAE2k3ybfAAAADAEAAA8AAABk&#10;cnMvZG93bnJldi54bWxMj8FOwzAQRO9I/IO1SNxap0YUksapEKhIHNv0ws2Jt0kgXkex0wa+nuUE&#10;x515mp3Jt7PrxRnH0HnSsFomIJBqbztqNBzL3eIRRIiGrOk9oYYvDLAtrq9yk1l/oT2eD7ERHEIh&#10;MxraGIdMylC36ExY+gGJvZMfnYl8jo20o7lwuOulSpK1dKYj/tCaAZ9brD8Pk9NQdepovvfla+LS&#10;3V18m8uP6f1F69ub+WkDIuIc/2D4rc/VoeBOlZ/IBtFrWKzUmsdEDepegWAifVAsVIyqlC1Z5PL/&#10;iOIHAAD//wMAUEsBAi0AFAAGAAgAAAAhALaDOJL+AAAA4QEAABMAAAAAAAAAAAAAAAAAAAAAAFtD&#10;b250ZW50X1R5cGVzXS54bWxQSwECLQAUAAYACAAAACEAOP0h/9YAAACUAQAACwAAAAAAAAAAAAAA&#10;AAAvAQAAX3JlbHMvLnJlbHNQSwECLQAUAAYACAAAACEAgOYAQDQCAABTBAAADgAAAAAAAAAAAAAA&#10;AAAuAgAAZHJzL2Uyb0RvYy54bWxQSwECLQAUAAYACAAAACEATaTfJt8AAAAMAQAADwAAAAAAAAAA&#10;AAAAAACOBAAAZHJzL2Rvd25yZXYueG1sUEsFBgAAAAAEAAQA8wAAAJoFAAAAAA==&#10;">
                <v:textbox>
                  <w:txbxContent>
                    <w:p w:rsidR="0044221C" w:rsidRPr="00F34720" w:rsidRDefault="0044221C" w:rsidP="00C446F4">
                      <w:pPr>
                        <w:autoSpaceDE w:val="0"/>
                        <w:autoSpaceDN w:val="0"/>
                        <w:adjustRightInd w:val="0"/>
                        <w:rPr>
                          <w:rFonts w:ascii="Courier New" w:hAnsi="Courier New" w:cs="Courier New"/>
                          <w:b/>
                          <w:sz w:val="18"/>
                          <w:szCs w:val="18"/>
                        </w:rPr>
                      </w:pPr>
                      <w:r w:rsidRPr="00F34720">
                        <w:rPr>
                          <w:rFonts w:ascii="Courier New" w:hAnsi="Courier New" w:cs="Courier New"/>
                          <w:b/>
                          <w:sz w:val="18"/>
                          <w:szCs w:val="18"/>
                        </w:rPr>
                        <w:t>IDENTIFICACIÓN DE LAS VARIABLES</w:t>
                      </w: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1 :</w:t>
                      </w:r>
                      <w:proofErr w:type="gramEnd"/>
                      <w:r w:rsidRPr="00A337F3">
                        <w:rPr>
                          <w:rFonts w:ascii="Courier New" w:hAnsi="Courier New" w:cs="Courier New"/>
                          <w:sz w:val="18"/>
                          <w:szCs w:val="18"/>
                        </w:rPr>
                        <w:t xml:space="preserve"> W        - W</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2 :</w:t>
                      </w:r>
                      <w:proofErr w:type="gramEnd"/>
                      <w:r w:rsidRPr="00A337F3">
                        <w:rPr>
                          <w:rFonts w:ascii="Courier New" w:hAnsi="Courier New" w:cs="Courier New"/>
                          <w:sz w:val="18"/>
                          <w:szCs w:val="18"/>
                        </w:rPr>
                        <w:t xml:space="preserve"> P        - P</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3 :</w:t>
                      </w:r>
                      <w:proofErr w:type="gramEnd"/>
                      <w:r w:rsidRPr="00A337F3">
                        <w:rPr>
                          <w:rFonts w:ascii="Courier New" w:hAnsi="Courier New" w:cs="Courier New"/>
                          <w:sz w:val="18"/>
                          <w:szCs w:val="18"/>
                        </w:rPr>
                        <w:t xml:space="preserve"> TR       - TR</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4 :</w:t>
                      </w:r>
                      <w:proofErr w:type="gramEnd"/>
                      <w:r w:rsidRPr="00A337F3">
                        <w:rPr>
                          <w:rFonts w:ascii="Courier New" w:hAnsi="Courier New" w:cs="Courier New"/>
                          <w:sz w:val="18"/>
                          <w:szCs w:val="18"/>
                        </w:rPr>
                        <w:t xml:space="preserve"> CVAB     - Créditos/VAB</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5 :</w:t>
                      </w:r>
                      <w:proofErr w:type="gramEnd"/>
                      <w:r w:rsidRPr="00A337F3">
                        <w:rPr>
                          <w:rFonts w:ascii="Courier New" w:hAnsi="Courier New" w:cs="Courier New"/>
                          <w:sz w:val="18"/>
                          <w:szCs w:val="18"/>
                        </w:rPr>
                        <w:t xml:space="preserve"> I        - Tasa de Inflación</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6 :</w:t>
                      </w:r>
                      <w:proofErr w:type="gramEnd"/>
                      <w:r w:rsidRPr="00A337F3">
                        <w:rPr>
                          <w:rFonts w:ascii="Courier New" w:hAnsi="Courier New" w:cs="Courier New"/>
                          <w:sz w:val="18"/>
                          <w:szCs w:val="18"/>
                        </w:rPr>
                        <w:t xml:space="preserve"> C        - Confianza</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7 :</w:t>
                      </w:r>
                      <w:proofErr w:type="gramEnd"/>
                      <w:r w:rsidRPr="00A337F3">
                        <w:rPr>
                          <w:rFonts w:ascii="Courier New" w:hAnsi="Courier New" w:cs="Courier New"/>
                          <w:sz w:val="18"/>
                          <w:szCs w:val="18"/>
                        </w:rPr>
                        <w:t xml:space="preserve"> TP       - Tasa de Paro</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VARIABLE </w:t>
                      </w:r>
                      <w:proofErr w:type="gramStart"/>
                      <w:r w:rsidRPr="00A337F3">
                        <w:rPr>
                          <w:rFonts w:ascii="Courier New" w:hAnsi="Courier New" w:cs="Courier New"/>
                          <w:sz w:val="18"/>
                          <w:szCs w:val="18"/>
                        </w:rPr>
                        <w:t>8 :</w:t>
                      </w:r>
                      <w:proofErr w:type="gramEnd"/>
                      <w:r w:rsidRPr="00A337F3">
                        <w:rPr>
                          <w:rFonts w:ascii="Courier New" w:hAnsi="Courier New" w:cs="Courier New"/>
                          <w:sz w:val="18"/>
                          <w:szCs w:val="18"/>
                        </w:rPr>
                        <w:t xml:space="preserve"> V        - Precio Medio Vivie</w:t>
                      </w:r>
                      <w:r>
                        <w:rPr>
                          <w:rFonts w:ascii="Courier New" w:hAnsi="Courier New" w:cs="Courier New"/>
                          <w:sz w:val="18"/>
                          <w:szCs w:val="18"/>
                        </w:rPr>
                        <w:t>n</w:t>
                      </w:r>
                      <w:r w:rsidRPr="00A337F3">
                        <w:rPr>
                          <w:rFonts w:ascii="Courier New" w:hAnsi="Courier New" w:cs="Courier New"/>
                          <w:sz w:val="18"/>
                          <w:szCs w:val="18"/>
                        </w:rPr>
                        <w:t>da</w:t>
                      </w: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rPr>
                        <w:t xml:space="preserve">              </w:t>
                      </w:r>
                      <w:r w:rsidRPr="00F34720">
                        <w:rPr>
                          <w:rFonts w:ascii="Courier New" w:hAnsi="Courier New" w:cs="Courier New"/>
                          <w:b/>
                          <w:sz w:val="18"/>
                          <w:szCs w:val="18"/>
                          <w:lang w:val="pt-BR"/>
                        </w:rPr>
                        <w:t xml:space="preserve">FACTOR </w:t>
                      </w:r>
                      <w:proofErr w:type="gramStart"/>
                      <w:r w:rsidRPr="00F34720">
                        <w:rPr>
                          <w:rFonts w:ascii="Courier New" w:hAnsi="Courier New" w:cs="Courier New"/>
                          <w:b/>
                          <w:sz w:val="18"/>
                          <w:szCs w:val="18"/>
                          <w:lang w:val="pt-BR"/>
                        </w:rPr>
                        <w:t>1</w:t>
                      </w:r>
                      <w:proofErr w:type="gramEnd"/>
                      <w:r w:rsidRPr="00F34720">
                        <w:rPr>
                          <w:rFonts w:ascii="Courier New" w:hAnsi="Courier New" w:cs="Courier New"/>
                          <w:b/>
                          <w:sz w:val="18"/>
                          <w:szCs w:val="18"/>
                          <w:lang w:val="pt-BR"/>
                        </w:rPr>
                        <w:t xml:space="preserve"> FACTOR 2 FACTOR 3</w:t>
                      </w:r>
                      <w:r w:rsidRPr="00A337F3">
                        <w:rPr>
                          <w:rFonts w:ascii="Courier New" w:hAnsi="Courier New" w:cs="Courier New"/>
                          <w:sz w:val="18"/>
                          <w:szCs w:val="18"/>
                          <w:lang w:val="pt-BR"/>
                        </w:rPr>
                        <w:t xml:space="preserve"> FACTOR 4 FACTOR 5 FACTOR 6 FACTOR 7 FACTOR 8 </w:t>
                      </w: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lang w:val="pt-BR"/>
                        </w:rPr>
                        <w:t xml:space="preserve">              -------- -------- -------- -------- -------- -------- -------- -------- </w:t>
                      </w: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lang w:val="pt-BR"/>
                        </w:rPr>
                        <w:t>VALOR PROPIO:</w:t>
                      </w:r>
                      <w:proofErr w:type="gramStart"/>
                      <w:r w:rsidRPr="00A337F3">
                        <w:rPr>
                          <w:rFonts w:ascii="Courier New" w:hAnsi="Courier New" w:cs="Courier New"/>
                          <w:sz w:val="18"/>
                          <w:szCs w:val="18"/>
                          <w:lang w:val="pt-BR"/>
                        </w:rPr>
                        <w:t xml:space="preserve">  </w:t>
                      </w:r>
                      <w:proofErr w:type="gramEnd"/>
                      <w:r w:rsidRPr="00A337F3">
                        <w:rPr>
                          <w:rFonts w:ascii="Courier New" w:hAnsi="Courier New" w:cs="Courier New"/>
                          <w:sz w:val="18"/>
                          <w:szCs w:val="18"/>
                          <w:lang w:val="pt-BR"/>
                        </w:rPr>
                        <w:t xml:space="preserve">5,5543   1,8265   0,4432   0,1398   0,0240   0,0093   0,0026   0,0002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DE VARIANZA</w:t>
                      </w:r>
                      <w:proofErr w:type="gramStart"/>
                      <w:r w:rsidRPr="00A337F3">
                        <w:rPr>
                          <w:rFonts w:ascii="Courier New" w:hAnsi="Courier New" w:cs="Courier New"/>
                          <w:sz w:val="18"/>
                          <w:szCs w:val="18"/>
                        </w:rPr>
                        <w:t>:  69,43</w:t>
                      </w:r>
                      <w:proofErr w:type="gramEnd"/>
                      <w:r w:rsidRPr="00A337F3">
                        <w:rPr>
                          <w:rFonts w:ascii="Courier New" w:hAnsi="Courier New" w:cs="Courier New"/>
                          <w:sz w:val="18"/>
                          <w:szCs w:val="18"/>
                        </w:rPr>
                        <w:t xml:space="preserve">%   22,83%    5,54%    1,75%    0,30%    0,12%    0,03%    0,00%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VAR.ACUMUL.</w:t>
                      </w:r>
                      <w:proofErr w:type="gramStart"/>
                      <w:r w:rsidRPr="00A337F3">
                        <w:rPr>
                          <w:rFonts w:ascii="Courier New" w:hAnsi="Courier New" w:cs="Courier New"/>
                          <w:sz w:val="18"/>
                          <w:szCs w:val="18"/>
                        </w:rPr>
                        <w:t>:  69,43</w:t>
                      </w:r>
                      <w:proofErr w:type="gramEnd"/>
                      <w:r w:rsidRPr="00A337F3">
                        <w:rPr>
                          <w:rFonts w:ascii="Courier New" w:hAnsi="Courier New" w:cs="Courier New"/>
                          <w:sz w:val="18"/>
                          <w:szCs w:val="18"/>
                        </w:rPr>
                        <w:t xml:space="preserve">%   92,26%   97,80%   99,55%   99,85%   99,97%  100,00%  100,00% </w:t>
                      </w:r>
                    </w:p>
                    <w:p w:rsidR="0044221C" w:rsidRPr="00A337F3" w:rsidRDefault="0044221C" w:rsidP="00C446F4">
                      <w:pPr>
                        <w:autoSpaceDE w:val="0"/>
                        <w:autoSpaceDN w:val="0"/>
                        <w:adjustRightInd w:val="0"/>
                        <w:rPr>
                          <w:rFonts w:ascii="Courier New" w:hAnsi="Courier New" w:cs="Courier New"/>
                          <w:sz w:val="18"/>
                          <w:szCs w:val="18"/>
                        </w:rPr>
                      </w:pPr>
                    </w:p>
                    <w:p w:rsidR="0044221C" w:rsidRPr="00F34720" w:rsidRDefault="0044221C" w:rsidP="00C446F4">
                      <w:pPr>
                        <w:autoSpaceDE w:val="0"/>
                        <w:autoSpaceDN w:val="0"/>
                        <w:adjustRightInd w:val="0"/>
                        <w:rPr>
                          <w:rFonts w:ascii="Courier New" w:hAnsi="Courier New" w:cs="Courier New"/>
                          <w:b/>
                          <w:sz w:val="18"/>
                          <w:szCs w:val="18"/>
                        </w:rPr>
                      </w:pPr>
                      <w:r w:rsidRPr="00F34720">
                        <w:rPr>
                          <w:rFonts w:ascii="Courier New" w:hAnsi="Courier New" w:cs="Courier New"/>
                          <w:b/>
                          <w:sz w:val="18"/>
                          <w:szCs w:val="18"/>
                        </w:rPr>
                        <w:t>CARGAS DE</w:t>
                      </w:r>
                    </w:p>
                    <w:p w:rsidR="0044221C" w:rsidRPr="00A337F3" w:rsidRDefault="0044221C" w:rsidP="00C446F4">
                      <w:pPr>
                        <w:autoSpaceDE w:val="0"/>
                        <w:autoSpaceDN w:val="0"/>
                        <w:adjustRightInd w:val="0"/>
                        <w:rPr>
                          <w:rFonts w:ascii="Courier New" w:hAnsi="Courier New" w:cs="Courier New"/>
                          <w:sz w:val="18"/>
                          <w:szCs w:val="18"/>
                        </w:rPr>
                      </w:pPr>
                      <w:r w:rsidRPr="00F34720">
                        <w:rPr>
                          <w:rFonts w:ascii="Courier New" w:hAnsi="Courier New" w:cs="Courier New"/>
                          <w:b/>
                          <w:sz w:val="18"/>
                          <w:szCs w:val="18"/>
                        </w:rPr>
                        <w:t xml:space="preserve">LOS FACTORES:                                                                         </w:t>
                      </w:r>
                      <w:r w:rsidRPr="00A337F3">
                        <w:rPr>
                          <w:rFonts w:ascii="Courier New" w:hAnsi="Courier New" w:cs="Courier New"/>
                          <w:sz w:val="18"/>
                          <w:szCs w:val="18"/>
                        </w:rPr>
                        <w:t>COMUNALIDAD</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W              0,9887   0,1447  -0,0290   0,0134   0,0073   0,0090  -0,0117   0,0133     1,0000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P              0,9637   0,2331   0,0452  -0,0869   0,0672   0,0485  -0,0198  -0,0060     1,0000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TR             0,9896  -0,1183  -0,0605   0,0013   0,0248   0,0220   0,0432   0,0000     1,0000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CVAB           0,9616  -0,0017   0,1630  -0,2111  -0,0033  -0,0646   0,0005  -0,0013     1,0000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I             -0,4211   0,8222  -0,3324  -0,1847  -0,0419   0,0125   0,0058   0,0006     1,0000  </w:t>
                      </w:r>
                    </w:p>
                    <w:p w:rsidR="0044221C" w:rsidRPr="000D4E39" w:rsidRDefault="0044221C" w:rsidP="00C446F4">
                      <w:pPr>
                        <w:autoSpaceDE w:val="0"/>
                        <w:autoSpaceDN w:val="0"/>
                        <w:adjustRightInd w:val="0"/>
                        <w:rPr>
                          <w:rFonts w:ascii="Courier New" w:hAnsi="Courier New" w:cs="Courier New"/>
                          <w:sz w:val="18"/>
                          <w:szCs w:val="18"/>
                          <w:lang w:val="en-US"/>
                        </w:rPr>
                      </w:pPr>
                      <w:r w:rsidRPr="000D4E39">
                        <w:rPr>
                          <w:rFonts w:ascii="Courier New" w:hAnsi="Courier New" w:cs="Courier New"/>
                          <w:sz w:val="18"/>
                          <w:szCs w:val="18"/>
                          <w:lang w:val="en-US"/>
                        </w:rPr>
                        <w:t xml:space="preserve">C             -0,8485   0,1355   0,4935  -0,1308  -0,0004   0,0309   0,0093   0,0035     1,0000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TP             0,0753  -0,9725  -0,1368  -0,1596  -0,0587   0,0301  -0,0061   0,0005     1,0000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V              0,9170   0,3114   0,1933   0,1041  -0,1167   0,0152  -0,0020  -0,0031     1,0000  </w:t>
                      </w: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rPr>
                      </w:pPr>
                    </w:p>
                    <w:p w:rsidR="0044221C" w:rsidRPr="00F34720" w:rsidRDefault="0044221C" w:rsidP="00C446F4">
                      <w:pPr>
                        <w:autoSpaceDE w:val="0"/>
                        <w:autoSpaceDN w:val="0"/>
                        <w:adjustRightInd w:val="0"/>
                        <w:rPr>
                          <w:rFonts w:ascii="Courier New" w:hAnsi="Courier New" w:cs="Courier New"/>
                          <w:b/>
                          <w:sz w:val="18"/>
                          <w:szCs w:val="18"/>
                        </w:rPr>
                      </w:pPr>
                      <w:r w:rsidRPr="00F34720">
                        <w:rPr>
                          <w:rFonts w:ascii="Courier New" w:hAnsi="Courier New" w:cs="Courier New"/>
                          <w:b/>
                          <w:sz w:val="18"/>
                          <w:szCs w:val="18"/>
                        </w:rPr>
                        <w:t>COEFICIENTES DE</w:t>
                      </w:r>
                    </w:p>
                    <w:p w:rsidR="0044221C" w:rsidRPr="00F34720" w:rsidRDefault="0044221C" w:rsidP="00C446F4">
                      <w:pPr>
                        <w:autoSpaceDE w:val="0"/>
                        <w:autoSpaceDN w:val="0"/>
                        <w:adjustRightInd w:val="0"/>
                        <w:rPr>
                          <w:rFonts w:ascii="Courier New" w:hAnsi="Courier New" w:cs="Courier New"/>
                          <w:b/>
                          <w:sz w:val="18"/>
                          <w:szCs w:val="18"/>
                        </w:rPr>
                      </w:pPr>
                      <w:r w:rsidRPr="00F34720">
                        <w:rPr>
                          <w:rFonts w:ascii="Courier New" w:hAnsi="Courier New" w:cs="Courier New"/>
                          <w:b/>
                          <w:sz w:val="18"/>
                          <w:szCs w:val="18"/>
                        </w:rPr>
                        <w:t>PUNTUACIÓN DE</w:t>
                      </w:r>
                    </w:p>
                    <w:p w:rsidR="0044221C" w:rsidRPr="00A337F3" w:rsidRDefault="0044221C" w:rsidP="00C446F4">
                      <w:pPr>
                        <w:autoSpaceDE w:val="0"/>
                        <w:autoSpaceDN w:val="0"/>
                        <w:adjustRightInd w:val="0"/>
                        <w:rPr>
                          <w:rFonts w:ascii="Courier New" w:hAnsi="Courier New" w:cs="Courier New"/>
                          <w:sz w:val="18"/>
                          <w:szCs w:val="18"/>
                        </w:rPr>
                      </w:pPr>
                      <w:r w:rsidRPr="00F34720">
                        <w:rPr>
                          <w:rFonts w:ascii="Courier New" w:hAnsi="Courier New" w:cs="Courier New"/>
                          <w:b/>
                          <w:sz w:val="18"/>
                          <w:szCs w:val="18"/>
                        </w:rPr>
                        <w:t>LOS FACTORES</w:t>
                      </w:r>
                      <w:r w:rsidRPr="00A337F3">
                        <w:rPr>
                          <w:rFonts w:ascii="Courier New" w:hAnsi="Courier New" w:cs="Courier New"/>
                          <w:sz w:val="18"/>
                          <w:szCs w:val="18"/>
                        </w:rPr>
                        <w:t>:</w:t>
                      </w: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W              0,1780   0,0792  -0,0654   0,0958   0,3051   0,9652  -4,5755  55,9468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P              0,1735   0,1276   0,1019  -0,6214   2,7992   5,1944  -7,7327  -25,263  3</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TR             0,1782  -0,0648  -0,1364   0,0096   1,0325   2,3550  16,9099  -0,1508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CVAB           0,1731  -0,0009   0,3678  -1,5099  -0,1364  -6,9205   0,1858  -5,6071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I             -0,0758   0,4502  -0,7499  -1,3206  -1,7467   1,3376   2,2856   2,4958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C             -0,1528   0,0742   1,1134  -0,9351  -0,0174   3,3135   3,6283  14,8569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 xml:space="preserve">TP             0,0136  -0,5324  -0,3086  -1,1416  -2,4442   3,2295  -2,4032   2,3075  </w:t>
                      </w:r>
                    </w:p>
                    <w:p w:rsidR="0044221C" w:rsidRPr="00A337F3" w:rsidRDefault="0044221C" w:rsidP="00C446F4">
                      <w:pPr>
                        <w:autoSpaceDE w:val="0"/>
                        <w:autoSpaceDN w:val="0"/>
                        <w:adjustRightInd w:val="0"/>
                        <w:rPr>
                          <w:rFonts w:ascii="Courier New" w:hAnsi="Courier New" w:cs="Courier New"/>
                          <w:sz w:val="18"/>
                          <w:szCs w:val="18"/>
                        </w:rPr>
                      </w:pPr>
                      <w:r w:rsidRPr="00A337F3">
                        <w:rPr>
                          <w:rFonts w:ascii="Courier New" w:hAnsi="Courier New" w:cs="Courier New"/>
                          <w:sz w:val="18"/>
                          <w:szCs w:val="18"/>
                        </w:rPr>
                        <w:t>V              0,1651   0,1705   0,4361   0,7447  -4,8593   1,6305  -0,7797  -13,025  8</w:t>
                      </w:r>
                    </w:p>
                    <w:p w:rsidR="0044221C" w:rsidRPr="00A337F3" w:rsidRDefault="0044221C" w:rsidP="00C446F4">
                      <w:pPr>
                        <w:autoSpaceDE w:val="0"/>
                        <w:autoSpaceDN w:val="0"/>
                        <w:adjustRightInd w:val="0"/>
                        <w:rPr>
                          <w:rFonts w:ascii="Courier New" w:hAnsi="Courier New" w:cs="Courier New"/>
                          <w:sz w:val="18"/>
                          <w:szCs w:val="18"/>
                        </w:rPr>
                      </w:pPr>
                    </w:p>
                    <w:p w:rsidR="0044221C" w:rsidRPr="00A337F3" w:rsidRDefault="0044221C" w:rsidP="00C446F4">
                      <w:pPr>
                        <w:autoSpaceDE w:val="0"/>
                        <w:autoSpaceDN w:val="0"/>
                        <w:adjustRightInd w:val="0"/>
                        <w:rPr>
                          <w:rFonts w:ascii="Courier New" w:hAnsi="Courier New" w:cs="Courier New"/>
                          <w:sz w:val="18"/>
                          <w:szCs w:val="18"/>
                        </w:rPr>
                      </w:pPr>
                    </w:p>
                    <w:p w:rsidR="0044221C" w:rsidRDefault="0044221C" w:rsidP="00C446F4">
                      <w:pPr>
                        <w:autoSpaceDE w:val="0"/>
                        <w:autoSpaceDN w:val="0"/>
                        <w:adjustRightInd w:val="0"/>
                        <w:rPr>
                          <w:rFonts w:ascii="Courier New" w:hAnsi="Courier New" w:cs="Courier New"/>
                          <w:b/>
                          <w:sz w:val="18"/>
                          <w:szCs w:val="18"/>
                        </w:rPr>
                      </w:pPr>
                      <w:r w:rsidRPr="00F34720">
                        <w:rPr>
                          <w:rFonts w:ascii="Courier New" w:hAnsi="Courier New" w:cs="Courier New"/>
                          <w:b/>
                          <w:sz w:val="18"/>
                          <w:szCs w:val="18"/>
                        </w:rPr>
                        <w:t>Cargas de los factores retenidos:</w:t>
                      </w:r>
                    </w:p>
                    <w:p w:rsidR="0044221C" w:rsidRPr="00F34720" w:rsidRDefault="0044221C" w:rsidP="00C446F4">
                      <w:pPr>
                        <w:autoSpaceDE w:val="0"/>
                        <w:autoSpaceDN w:val="0"/>
                        <w:adjustRightInd w:val="0"/>
                        <w:rPr>
                          <w:rFonts w:ascii="Courier New" w:hAnsi="Courier New" w:cs="Courier New"/>
                          <w:b/>
                          <w:sz w:val="18"/>
                          <w:szCs w:val="18"/>
                        </w:rPr>
                      </w:pP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lang w:val="pt-BR"/>
                        </w:rPr>
                        <w:t xml:space="preserve">              FACTOR </w:t>
                      </w:r>
                      <w:proofErr w:type="gramStart"/>
                      <w:r w:rsidRPr="00A337F3">
                        <w:rPr>
                          <w:rFonts w:ascii="Courier New" w:hAnsi="Courier New" w:cs="Courier New"/>
                          <w:sz w:val="18"/>
                          <w:szCs w:val="18"/>
                          <w:lang w:val="pt-BR"/>
                        </w:rPr>
                        <w:t>1</w:t>
                      </w:r>
                      <w:proofErr w:type="gramEnd"/>
                      <w:r w:rsidRPr="00A337F3">
                        <w:rPr>
                          <w:rFonts w:ascii="Courier New" w:hAnsi="Courier New" w:cs="Courier New"/>
                          <w:sz w:val="18"/>
                          <w:szCs w:val="18"/>
                          <w:lang w:val="pt-BR"/>
                        </w:rPr>
                        <w:t xml:space="preserve"> FACTOR 2 FACTOR 3  COMUNALIDAD</w:t>
                      </w: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lang w:val="pt-BR"/>
                        </w:rPr>
                        <w:t xml:space="preserve">              -------- -------- --------</w:t>
                      </w:r>
                      <w:proofErr w:type="gramStart"/>
                      <w:r w:rsidRPr="00A337F3">
                        <w:rPr>
                          <w:rFonts w:ascii="Courier New" w:hAnsi="Courier New" w:cs="Courier New"/>
                          <w:sz w:val="18"/>
                          <w:szCs w:val="18"/>
                          <w:lang w:val="pt-BR"/>
                        </w:rPr>
                        <w:t xml:space="preserve">  </w:t>
                      </w:r>
                      <w:proofErr w:type="gramEnd"/>
                      <w:r w:rsidRPr="00A337F3">
                        <w:rPr>
                          <w:rFonts w:ascii="Courier New" w:hAnsi="Courier New" w:cs="Courier New"/>
                          <w:sz w:val="18"/>
                          <w:szCs w:val="18"/>
                          <w:lang w:val="pt-BR"/>
                        </w:rPr>
                        <w:t>-----------</w:t>
                      </w:r>
                    </w:p>
                    <w:p w:rsidR="0044221C" w:rsidRPr="00A337F3" w:rsidRDefault="0044221C" w:rsidP="00C446F4">
                      <w:pPr>
                        <w:autoSpaceDE w:val="0"/>
                        <w:autoSpaceDN w:val="0"/>
                        <w:adjustRightInd w:val="0"/>
                        <w:rPr>
                          <w:rFonts w:ascii="Courier New" w:hAnsi="Courier New" w:cs="Courier New"/>
                          <w:sz w:val="18"/>
                          <w:szCs w:val="18"/>
                          <w:lang w:val="pt-BR"/>
                        </w:rPr>
                      </w:pPr>
                      <w:r w:rsidRPr="00A337F3">
                        <w:rPr>
                          <w:rFonts w:ascii="Courier New" w:hAnsi="Courier New" w:cs="Courier New"/>
                          <w:sz w:val="18"/>
                          <w:szCs w:val="18"/>
                          <w:lang w:val="pt-BR"/>
                        </w:rPr>
                        <w:t>W              0,9887</w:t>
                      </w:r>
                      <w:proofErr w:type="gramStart"/>
                      <w:r w:rsidRPr="00A337F3">
                        <w:rPr>
                          <w:rFonts w:ascii="Courier New" w:hAnsi="Courier New" w:cs="Courier New"/>
                          <w:sz w:val="18"/>
                          <w:szCs w:val="18"/>
                          <w:lang w:val="pt-BR"/>
                        </w:rPr>
                        <w:t xml:space="preserve">   </w:t>
                      </w:r>
                      <w:proofErr w:type="gramEnd"/>
                      <w:r w:rsidRPr="00A337F3">
                        <w:rPr>
                          <w:rFonts w:ascii="Courier New" w:hAnsi="Courier New" w:cs="Courier New"/>
                          <w:sz w:val="18"/>
                          <w:szCs w:val="18"/>
                          <w:lang w:val="pt-BR"/>
                        </w:rPr>
                        <w:t xml:space="preserve">0,1447  -0,0290      0,9994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P              0,9637   0,2331   0,0452      0,9852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TR             0,9896  -0,1183  -0,0605      0,9970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CVAB           0,9616  -0,0017   0,1630      0,9512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I             -0,4211   0,8222  -0,3324      0,9639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C             -0,8485   0,1355   0,4935      0,9818  </w:t>
                      </w:r>
                    </w:p>
                    <w:p w:rsidR="0044221C" w:rsidRPr="00A337F3"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TP             0,0753  -0,9725  -0,1368      0,9701  </w:t>
                      </w:r>
                    </w:p>
                    <w:p w:rsidR="0044221C" w:rsidRDefault="0044221C" w:rsidP="00C446F4">
                      <w:pPr>
                        <w:autoSpaceDE w:val="0"/>
                        <w:autoSpaceDN w:val="0"/>
                        <w:adjustRightInd w:val="0"/>
                        <w:rPr>
                          <w:rFonts w:ascii="Courier New" w:hAnsi="Courier New" w:cs="Courier New"/>
                          <w:sz w:val="18"/>
                          <w:szCs w:val="18"/>
                          <w:lang w:val="it-IT"/>
                        </w:rPr>
                      </w:pPr>
                      <w:r w:rsidRPr="00A337F3">
                        <w:rPr>
                          <w:rFonts w:ascii="Courier New" w:hAnsi="Courier New" w:cs="Courier New"/>
                          <w:sz w:val="18"/>
                          <w:szCs w:val="18"/>
                          <w:lang w:val="it-IT"/>
                        </w:rPr>
                        <w:t xml:space="preserve">V              0,9170   0,3114   0,1933      0,9753  </w:t>
                      </w:r>
                    </w:p>
                    <w:p w:rsidR="0044221C" w:rsidRDefault="0044221C" w:rsidP="00C446F4">
                      <w:pPr>
                        <w:autoSpaceDE w:val="0"/>
                        <w:autoSpaceDN w:val="0"/>
                        <w:adjustRightInd w:val="0"/>
                        <w:rPr>
                          <w:rFonts w:ascii="Courier New" w:hAnsi="Courier New" w:cs="Courier New"/>
                          <w:sz w:val="18"/>
                          <w:szCs w:val="18"/>
                          <w:lang w:val="it-IT"/>
                        </w:rPr>
                      </w:pP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VARIANZA:      5,5543   1,8265   0,4432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DE VARIANZA</w:t>
                      </w:r>
                      <w:proofErr w:type="gramStart"/>
                      <w:r>
                        <w:rPr>
                          <w:rFonts w:ascii="Courier New" w:hAnsi="Courier New" w:cs="Courier New"/>
                          <w:sz w:val="20"/>
                          <w:szCs w:val="20"/>
                        </w:rPr>
                        <w:t>:  69,43</w:t>
                      </w:r>
                      <w:proofErr w:type="gramEnd"/>
                      <w:r>
                        <w:rPr>
                          <w:rFonts w:ascii="Courier New" w:hAnsi="Courier New" w:cs="Courier New"/>
                          <w:sz w:val="20"/>
                          <w:szCs w:val="20"/>
                        </w:rPr>
                        <w:t xml:space="preserve">%   22,83%    5,54%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VAR.ACUMUL.</w:t>
                      </w:r>
                      <w:proofErr w:type="gramStart"/>
                      <w:r>
                        <w:rPr>
                          <w:rFonts w:ascii="Courier New" w:hAnsi="Courier New" w:cs="Courier New"/>
                          <w:sz w:val="20"/>
                          <w:szCs w:val="20"/>
                        </w:rPr>
                        <w:t>:  69,43</w:t>
                      </w:r>
                      <w:proofErr w:type="gramEnd"/>
                      <w:r>
                        <w:rPr>
                          <w:rFonts w:ascii="Courier New" w:hAnsi="Courier New" w:cs="Courier New"/>
                          <w:sz w:val="20"/>
                          <w:szCs w:val="20"/>
                        </w:rPr>
                        <w:t xml:space="preserve">%   92,26%   97,80% </w:t>
                      </w:r>
                    </w:p>
                    <w:p w:rsidR="0044221C" w:rsidRPr="00A337F3" w:rsidRDefault="0044221C" w:rsidP="00C446F4">
                      <w:pPr>
                        <w:autoSpaceDE w:val="0"/>
                        <w:autoSpaceDN w:val="0"/>
                        <w:adjustRightInd w:val="0"/>
                        <w:rPr>
                          <w:rFonts w:ascii="Courier New" w:hAnsi="Courier New" w:cs="Courier New"/>
                          <w:sz w:val="18"/>
                          <w:szCs w:val="18"/>
                          <w:lang w:val="it-IT"/>
                        </w:rPr>
                      </w:pPr>
                    </w:p>
                  </w:txbxContent>
                </v:textbox>
              </v:rect>
            </w:pict>
          </mc:Fallback>
        </mc:AlternateContent>
      </w:r>
      <w:r w:rsidRPr="00206A19">
        <w:rPr>
          <w:b/>
        </w:rPr>
        <w:t xml:space="preserve">Cuadro </w:t>
      </w:r>
      <w:r>
        <w:rPr>
          <w:b/>
        </w:rPr>
        <w:t>2</w:t>
      </w:r>
      <w:r w:rsidRPr="00206A19">
        <w:rPr>
          <w:b/>
        </w:rPr>
        <w:t xml:space="preserve">. </w:t>
      </w:r>
      <w:r>
        <w:rPr>
          <w:b/>
        </w:rPr>
        <w:t>Análisis de componentes principales</w:t>
      </w: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FA5E38" w:rsidRDefault="00FA5E38" w:rsidP="00C446F4">
      <w:pPr>
        <w:jc w:val="center"/>
        <w:rPr>
          <w:b/>
        </w:rPr>
      </w:pPr>
    </w:p>
    <w:p w:rsidR="00FA5E38" w:rsidRDefault="00FA5E38" w:rsidP="00C446F4">
      <w:pPr>
        <w:jc w:val="center"/>
        <w:rPr>
          <w:b/>
        </w:rPr>
      </w:pPr>
    </w:p>
    <w:p w:rsidR="00FA5E38" w:rsidRDefault="00FA5E38" w:rsidP="00C446F4">
      <w:pPr>
        <w:jc w:val="center"/>
        <w:rPr>
          <w:b/>
        </w:rPr>
      </w:pPr>
    </w:p>
    <w:p w:rsidR="00FA5E38" w:rsidRDefault="00FA5E38" w:rsidP="00C446F4">
      <w:pPr>
        <w:jc w:val="center"/>
        <w:rPr>
          <w:b/>
        </w:rPr>
      </w:pPr>
    </w:p>
    <w:p w:rsidR="00FA5E38" w:rsidRDefault="00FA5E38" w:rsidP="00C446F4">
      <w:pPr>
        <w:jc w:val="center"/>
        <w:rPr>
          <w:b/>
        </w:rPr>
      </w:pPr>
    </w:p>
    <w:p w:rsidR="00C446F4" w:rsidRDefault="00C446F4" w:rsidP="00FA5E38">
      <w:pPr>
        <w:rPr>
          <w:b/>
        </w:rPr>
      </w:pPr>
    </w:p>
    <w:p w:rsidR="00FA5E38" w:rsidRDefault="00FA5E38" w:rsidP="00C446F4">
      <w:pPr>
        <w:jc w:val="center"/>
        <w:rPr>
          <w:b/>
        </w:rPr>
      </w:pPr>
    </w:p>
    <w:p w:rsidR="00FA5E38" w:rsidRDefault="00FA5E38" w:rsidP="00C446F4">
      <w:pPr>
        <w:jc w:val="center"/>
        <w:rPr>
          <w:b/>
        </w:rPr>
      </w:pPr>
    </w:p>
    <w:p w:rsidR="00C446F4" w:rsidRDefault="00C446F4" w:rsidP="00C446F4">
      <w:pPr>
        <w:jc w:val="center"/>
        <w:rPr>
          <w:b/>
        </w:rPr>
      </w:pPr>
    </w:p>
    <w:p w:rsidR="00FA5E38" w:rsidRDefault="00FA5E38" w:rsidP="00C446F4">
      <w:pPr>
        <w:jc w:val="center"/>
        <w:rPr>
          <w:b/>
        </w:rPr>
      </w:pPr>
    </w:p>
    <w:p w:rsidR="00FA5E38" w:rsidRDefault="00FA5E38" w:rsidP="00C446F4">
      <w:pPr>
        <w:jc w:val="center"/>
        <w:rPr>
          <w:b/>
        </w:rPr>
      </w:pPr>
    </w:p>
    <w:p w:rsidR="00FA5E38" w:rsidRDefault="00FA5E38" w:rsidP="00C446F4">
      <w:pPr>
        <w:jc w:val="center"/>
        <w:rPr>
          <w:b/>
        </w:rPr>
      </w:pPr>
    </w:p>
    <w:p w:rsidR="00C446F4" w:rsidRDefault="00C446F4" w:rsidP="00C446F4">
      <w:pPr>
        <w:jc w:val="center"/>
      </w:pPr>
      <w:r w:rsidRPr="00206A19">
        <w:rPr>
          <w:b/>
        </w:rPr>
        <w:t xml:space="preserve">Cuadro </w:t>
      </w:r>
      <w:r>
        <w:rPr>
          <w:b/>
        </w:rPr>
        <w:t>2</w:t>
      </w:r>
      <w:r w:rsidRPr="00206A19">
        <w:rPr>
          <w:b/>
        </w:rPr>
        <w:t>.</w:t>
      </w:r>
      <w:r>
        <w:rPr>
          <w:b/>
        </w:rPr>
        <w:t xml:space="preserve"> (Continuación)</w:t>
      </w:r>
    </w:p>
    <w:p w:rsidR="00C446F4" w:rsidRDefault="00C446F4" w:rsidP="00C446F4">
      <w:pPr>
        <w:jc w:val="center"/>
        <w:rPr>
          <w:szCs w:val="22"/>
        </w:rPr>
      </w:pPr>
      <w:r>
        <w:rPr>
          <w:noProof/>
          <w:lang w:val="es-ES_tradnl" w:eastAsia="es-ES_tradnl"/>
        </w:rPr>
        <mc:AlternateContent>
          <mc:Choice Requires="wps">
            <w:drawing>
              <wp:anchor distT="0" distB="0" distL="114300" distR="114300" simplePos="0" relativeHeight="251661312" behindDoc="0" locked="0" layoutInCell="1" allowOverlap="1" wp14:anchorId="5D53FF07" wp14:editId="7A6B9D62">
                <wp:simplePos x="0" y="0"/>
                <wp:positionH relativeFrom="column">
                  <wp:posOffset>-683895</wp:posOffset>
                </wp:positionH>
                <wp:positionV relativeFrom="paragraph">
                  <wp:posOffset>53340</wp:posOffset>
                </wp:positionV>
                <wp:extent cx="6819900" cy="4946650"/>
                <wp:effectExtent l="5715" t="13970" r="13335" b="11430"/>
                <wp:wrapSquare wrapText="bothSides"/>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946650"/>
                        </a:xfrm>
                        <a:prstGeom prst="rect">
                          <a:avLst/>
                        </a:prstGeom>
                        <a:solidFill>
                          <a:srgbClr val="FFFFFF"/>
                        </a:solidFill>
                        <a:ln w="9525">
                          <a:solidFill>
                            <a:srgbClr val="000000"/>
                          </a:solidFill>
                          <a:miter lim="800000"/>
                          <a:headEnd/>
                          <a:tailEnd/>
                        </a:ln>
                      </wps:spPr>
                      <wps:txbx>
                        <w:txbxContent>
                          <w:p w:rsidR="0044221C" w:rsidRPr="000C5CDC" w:rsidRDefault="0044221C" w:rsidP="00C446F4">
                            <w:pPr>
                              <w:autoSpaceDE w:val="0"/>
                              <w:autoSpaceDN w:val="0"/>
                              <w:adjustRightInd w:val="0"/>
                              <w:rPr>
                                <w:rFonts w:ascii="Courier New" w:hAnsi="Courier New" w:cs="Courier New"/>
                                <w:b/>
                                <w:sz w:val="20"/>
                                <w:szCs w:val="20"/>
                              </w:rPr>
                            </w:pPr>
                            <w:r w:rsidRPr="000C5CDC">
                              <w:rPr>
                                <w:rFonts w:ascii="Courier New" w:hAnsi="Courier New" w:cs="Courier New"/>
                                <w:b/>
                                <w:sz w:val="20"/>
                                <w:szCs w:val="20"/>
                              </w:rPr>
                              <w:t>ROTACIÓN VARIMAX:</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44221C" w:rsidRDefault="0044221C" w:rsidP="00C446F4">
                            <w:pPr>
                              <w:autoSpaceDE w:val="0"/>
                              <w:autoSpaceDN w:val="0"/>
                              <w:adjustRightInd w:val="0"/>
                              <w:rPr>
                                <w:rFonts w:ascii="Courier New" w:hAnsi="Courier New" w:cs="Courier New"/>
                                <w:sz w:val="20"/>
                                <w:szCs w:val="20"/>
                              </w:rPr>
                            </w:pPr>
                          </w:p>
                          <w:p w:rsidR="0044221C" w:rsidRPr="000C5CDC" w:rsidRDefault="0044221C" w:rsidP="00C446F4">
                            <w:pPr>
                              <w:autoSpaceDE w:val="0"/>
                              <w:autoSpaceDN w:val="0"/>
                              <w:adjustRightInd w:val="0"/>
                              <w:rPr>
                                <w:rFonts w:ascii="Courier New" w:hAnsi="Courier New" w:cs="Courier New"/>
                                <w:b/>
                                <w:sz w:val="20"/>
                                <w:szCs w:val="20"/>
                              </w:rPr>
                            </w:pPr>
                            <w:r w:rsidRPr="000C5CDC">
                              <w:rPr>
                                <w:rFonts w:ascii="Courier New" w:hAnsi="Courier New" w:cs="Courier New"/>
                                <w:b/>
                                <w:sz w:val="20"/>
                                <w:szCs w:val="20"/>
                              </w:rPr>
                              <w:t>Cargas de los factores retenidos (después de la rotación):</w:t>
                            </w:r>
                          </w:p>
                          <w:p w:rsidR="0044221C" w:rsidRPr="00F34720" w:rsidRDefault="0044221C" w:rsidP="00C446F4">
                            <w:pPr>
                              <w:autoSpaceDE w:val="0"/>
                              <w:autoSpaceDN w:val="0"/>
                              <w:adjustRightInd w:val="0"/>
                              <w:rPr>
                                <w:rFonts w:ascii="Courier New" w:hAnsi="Courier New" w:cs="Courier New"/>
                                <w:sz w:val="20"/>
                                <w:szCs w:val="20"/>
                                <w:lang w:val="pt-BR"/>
                              </w:rPr>
                            </w:pPr>
                          </w:p>
                          <w:p w:rsidR="0044221C" w:rsidRPr="00F34720" w:rsidRDefault="0044221C" w:rsidP="00C446F4">
                            <w:pPr>
                              <w:autoSpaceDE w:val="0"/>
                              <w:autoSpaceDN w:val="0"/>
                              <w:adjustRightInd w:val="0"/>
                              <w:rPr>
                                <w:rFonts w:ascii="Courier New" w:hAnsi="Courier New" w:cs="Courier New"/>
                                <w:sz w:val="20"/>
                                <w:szCs w:val="20"/>
                                <w:lang w:val="pt-BR"/>
                              </w:rPr>
                            </w:pPr>
                            <w:r w:rsidRPr="00F34720">
                              <w:rPr>
                                <w:rFonts w:ascii="Courier New" w:hAnsi="Courier New" w:cs="Courier New"/>
                                <w:sz w:val="20"/>
                                <w:szCs w:val="20"/>
                                <w:lang w:val="pt-BR"/>
                              </w:rPr>
                              <w:t xml:space="preserve">              FACTOR </w:t>
                            </w:r>
                            <w:proofErr w:type="gramStart"/>
                            <w:r w:rsidRPr="00F34720">
                              <w:rPr>
                                <w:rFonts w:ascii="Courier New" w:hAnsi="Courier New" w:cs="Courier New"/>
                                <w:sz w:val="20"/>
                                <w:szCs w:val="20"/>
                                <w:lang w:val="pt-BR"/>
                              </w:rPr>
                              <w:t>1</w:t>
                            </w:r>
                            <w:proofErr w:type="gramEnd"/>
                            <w:r w:rsidRPr="00F34720">
                              <w:rPr>
                                <w:rFonts w:ascii="Courier New" w:hAnsi="Courier New" w:cs="Courier New"/>
                                <w:sz w:val="20"/>
                                <w:szCs w:val="20"/>
                                <w:lang w:val="pt-BR"/>
                              </w:rPr>
                              <w:t xml:space="preserve"> FACTOR 2 FACTOR 3  COMUNALIDAD</w:t>
                            </w:r>
                          </w:p>
                          <w:p w:rsidR="0044221C" w:rsidRPr="00F34720" w:rsidRDefault="0044221C" w:rsidP="00C446F4">
                            <w:pPr>
                              <w:autoSpaceDE w:val="0"/>
                              <w:autoSpaceDN w:val="0"/>
                              <w:adjustRightInd w:val="0"/>
                              <w:rPr>
                                <w:rFonts w:ascii="Courier New" w:hAnsi="Courier New" w:cs="Courier New"/>
                                <w:sz w:val="20"/>
                                <w:szCs w:val="20"/>
                                <w:lang w:val="pt-BR"/>
                              </w:rPr>
                            </w:pPr>
                            <w:r w:rsidRPr="00F34720">
                              <w:rPr>
                                <w:rFonts w:ascii="Courier New" w:hAnsi="Courier New" w:cs="Courier New"/>
                                <w:sz w:val="20"/>
                                <w:szCs w:val="20"/>
                                <w:lang w:val="pt-BR"/>
                              </w:rPr>
                              <w:t xml:space="preserve">              -------- -------- --------</w:t>
                            </w:r>
                            <w:proofErr w:type="gramStart"/>
                            <w:r w:rsidRPr="00F34720">
                              <w:rPr>
                                <w:rFonts w:ascii="Courier New" w:hAnsi="Courier New" w:cs="Courier New"/>
                                <w:sz w:val="20"/>
                                <w:szCs w:val="20"/>
                                <w:lang w:val="pt-BR"/>
                              </w:rPr>
                              <w:t xml:space="preserve">  </w:t>
                            </w:r>
                            <w:proofErr w:type="gramEnd"/>
                            <w:r w:rsidRPr="00F34720">
                              <w:rPr>
                                <w:rFonts w:ascii="Courier New" w:hAnsi="Courier New" w:cs="Courier New"/>
                                <w:sz w:val="20"/>
                                <w:szCs w:val="20"/>
                                <w:lang w:val="pt-BR"/>
                              </w:rPr>
                              <w:t>-----------</w:t>
                            </w:r>
                          </w:p>
                          <w:p w:rsidR="0044221C" w:rsidRPr="00F34720" w:rsidRDefault="0044221C" w:rsidP="00C446F4">
                            <w:pPr>
                              <w:autoSpaceDE w:val="0"/>
                              <w:autoSpaceDN w:val="0"/>
                              <w:adjustRightInd w:val="0"/>
                              <w:rPr>
                                <w:rFonts w:ascii="Courier New" w:hAnsi="Courier New" w:cs="Courier New"/>
                                <w:sz w:val="20"/>
                                <w:szCs w:val="20"/>
                                <w:lang w:val="pt-BR"/>
                              </w:rPr>
                            </w:pPr>
                            <w:r w:rsidRPr="00F34720">
                              <w:rPr>
                                <w:rFonts w:ascii="Courier New" w:hAnsi="Courier New" w:cs="Courier New"/>
                                <w:sz w:val="20"/>
                                <w:szCs w:val="20"/>
                                <w:lang w:val="pt-BR"/>
                              </w:rPr>
                              <w:t>W              0,9558*</w:t>
                            </w:r>
                            <w:proofErr w:type="gramStart"/>
                            <w:r w:rsidRPr="00F34720">
                              <w:rPr>
                                <w:rFonts w:ascii="Courier New" w:hAnsi="Courier New" w:cs="Courier New"/>
                                <w:sz w:val="20"/>
                                <w:szCs w:val="20"/>
                                <w:lang w:val="pt-BR"/>
                              </w:rPr>
                              <w:t xml:space="preserve">  </w:t>
                            </w:r>
                            <w:proofErr w:type="gramEnd"/>
                            <w:r w:rsidRPr="00F34720">
                              <w:rPr>
                                <w:rFonts w:ascii="Courier New" w:hAnsi="Courier New" w:cs="Courier New"/>
                                <w:sz w:val="20"/>
                                <w:szCs w:val="20"/>
                                <w:lang w:val="pt-BR"/>
                              </w:rPr>
                              <w:t xml:space="preserve">0,0369   0,2907      0,9994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P              0,9711* -0,0391   0,2016      0,9852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TR             0,8887*  0,2849   0,3550      0,9970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CVAB           0,9451*  0,2092   0,1196      0,9512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I             -0,2921  -0,9332*  0,0886      0,9639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C             -0,6432  -0,1944  -0,7282*     0,9818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TP            -0,1854   0,9266*  0,2779      0,9701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V              0,9822* -0,0955   0,0374      0,9753  </w:t>
                            </w:r>
                          </w:p>
                          <w:p w:rsidR="0044221C" w:rsidRPr="00F34720" w:rsidRDefault="0044221C" w:rsidP="00C446F4">
                            <w:pPr>
                              <w:autoSpaceDE w:val="0"/>
                              <w:autoSpaceDN w:val="0"/>
                              <w:adjustRightInd w:val="0"/>
                              <w:rPr>
                                <w:rFonts w:ascii="Courier New" w:hAnsi="Courier New" w:cs="Courier New"/>
                                <w:sz w:val="20"/>
                                <w:szCs w:val="20"/>
                                <w:lang w:val="it-IT"/>
                              </w:rPr>
                            </w:pP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VARIANZA:      5,0377   1,9041   0,8822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DE VARIANZA</w:t>
                            </w:r>
                            <w:proofErr w:type="gramStart"/>
                            <w:r>
                              <w:rPr>
                                <w:rFonts w:ascii="Courier New" w:hAnsi="Courier New" w:cs="Courier New"/>
                                <w:sz w:val="20"/>
                                <w:szCs w:val="20"/>
                              </w:rPr>
                              <w:t>:  62,97</w:t>
                            </w:r>
                            <w:proofErr w:type="gramEnd"/>
                            <w:r>
                              <w:rPr>
                                <w:rFonts w:ascii="Courier New" w:hAnsi="Courier New" w:cs="Courier New"/>
                                <w:sz w:val="20"/>
                                <w:szCs w:val="20"/>
                              </w:rPr>
                              <w:t xml:space="preserve">%   23,80%   11,03%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VAR.ACUMUL.</w:t>
                            </w:r>
                            <w:proofErr w:type="gramStart"/>
                            <w:r>
                              <w:rPr>
                                <w:rFonts w:ascii="Courier New" w:hAnsi="Courier New" w:cs="Courier New"/>
                                <w:sz w:val="20"/>
                                <w:szCs w:val="20"/>
                              </w:rPr>
                              <w:t>:  62,97</w:t>
                            </w:r>
                            <w:proofErr w:type="gramEnd"/>
                            <w:r>
                              <w:rPr>
                                <w:rFonts w:ascii="Courier New" w:hAnsi="Courier New" w:cs="Courier New"/>
                                <w:sz w:val="20"/>
                                <w:szCs w:val="20"/>
                              </w:rPr>
                              <w:t xml:space="preserve">%   86,77%   97,80% </w:t>
                            </w:r>
                          </w:p>
                          <w:p w:rsidR="0044221C" w:rsidRPr="000C5CDC" w:rsidRDefault="0044221C" w:rsidP="00C446F4">
                            <w:pPr>
                              <w:autoSpaceDE w:val="0"/>
                              <w:autoSpaceDN w:val="0"/>
                              <w:adjustRightInd w:val="0"/>
                              <w:rPr>
                                <w:rFonts w:ascii="Courier New" w:hAnsi="Courier New" w:cs="Courier New"/>
                                <w:b/>
                                <w:sz w:val="20"/>
                                <w:szCs w:val="20"/>
                              </w:rPr>
                            </w:pPr>
                          </w:p>
                          <w:p w:rsidR="0044221C" w:rsidRPr="000C5CDC" w:rsidRDefault="0044221C" w:rsidP="00C446F4">
                            <w:pPr>
                              <w:autoSpaceDE w:val="0"/>
                              <w:autoSpaceDN w:val="0"/>
                              <w:adjustRightInd w:val="0"/>
                              <w:rPr>
                                <w:rFonts w:ascii="Courier New" w:hAnsi="Courier New" w:cs="Courier New"/>
                                <w:b/>
                                <w:sz w:val="20"/>
                                <w:szCs w:val="20"/>
                              </w:rPr>
                            </w:pPr>
                            <w:r w:rsidRPr="000C5CDC">
                              <w:rPr>
                                <w:rFonts w:ascii="Courier New" w:hAnsi="Courier New" w:cs="Courier New"/>
                                <w:b/>
                                <w:sz w:val="20"/>
                                <w:szCs w:val="20"/>
                              </w:rPr>
                              <w:t>COEFICIENTES DE</w:t>
                            </w:r>
                          </w:p>
                          <w:p w:rsidR="0044221C" w:rsidRPr="000C5CDC" w:rsidRDefault="0044221C" w:rsidP="00C446F4">
                            <w:pPr>
                              <w:autoSpaceDE w:val="0"/>
                              <w:autoSpaceDN w:val="0"/>
                              <w:adjustRightInd w:val="0"/>
                              <w:rPr>
                                <w:rFonts w:ascii="Courier New" w:hAnsi="Courier New" w:cs="Courier New"/>
                                <w:b/>
                                <w:sz w:val="20"/>
                                <w:szCs w:val="20"/>
                              </w:rPr>
                            </w:pPr>
                            <w:r w:rsidRPr="000C5CDC">
                              <w:rPr>
                                <w:rFonts w:ascii="Courier New" w:hAnsi="Courier New" w:cs="Courier New"/>
                                <w:b/>
                                <w:sz w:val="20"/>
                                <w:szCs w:val="20"/>
                              </w:rPr>
                              <w:t>PUNTUACIÓN DE</w:t>
                            </w:r>
                          </w:p>
                          <w:p w:rsidR="0044221C" w:rsidRPr="000C5CDC" w:rsidRDefault="0044221C" w:rsidP="00C446F4">
                            <w:pPr>
                              <w:autoSpaceDE w:val="0"/>
                              <w:autoSpaceDN w:val="0"/>
                              <w:adjustRightInd w:val="0"/>
                              <w:rPr>
                                <w:rFonts w:ascii="Courier New" w:hAnsi="Courier New" w:cs="Courier New"/>
                                <w:b/>
                                <w:sz w:val="20"/>
                                <w:szCs w:val="20"/>
                              </w:rPr>
                            </w:pPr>
                            <w:r w:rsidRPr="000C5CDC">
                              <w:rPr>
                                <w:rFonts w:ascii="Courier New" w:hAnsi="Courier New" w:cs="Courier New"/>
                                <w:b/>
                                <w:sz w:val="20"/>
                                <w:szCs w:val="20"/>
                              </w:rPr>
                              <w:t>LOS FACTORES:</w:t>
                            </w:r>
                          </w:p>
                          <w:p w:rsidR="0044221C" w:rsidRDefault="0044221C" w:rsidP="00C446F4">
                            <w:pPr>
                              <w:autoSpaceDE w:val="0"/>
                              <w:autoSpaceDN w:val="0"/>
                              <w:adjustRightInd w:val="0"/>
                              <w:rPr>
                                <w:rFonts w:ascii="Courier New" w:hAnsi="Courier New" w:cs="Courier New"/>
                                <w:sz w:val="20"/>
                                <w:szCs w:val="20"/>
                              </w:rPr>
                            </w:pP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W              0</w:t>
                            </w:r>
                            <w:proofErr w:type="gramStart"/>
                            <w:r w:rsidRPr="00C446F4">
                              <w:rPr>
                                <w:rFonts w:ascii="Courier New" w:hAnsi="Courier New" w:cs="Courier New"/>
                                <w:sz w:val="20"/>
                                <w:szCs w:val="20"/>
                                <w:lang w:val="en-US"/>
                              </w:rPr>
                              <w:t>,1691</w:t>
                            </w:r>
                            <w:proofErr w:type="gramEnd"/>
                            <w:r w:rsidRPr="00C446F4">
                              <w:rPr>
                                <w:rFonts w:ascii="Courier New" w:hAnsi="Courier New" w:cs="Courier New"/>
                                <w:sz w:val="20"/>
                                <w:szCs w:val="20"/>
                                <w:lang w:val="en-US"/>
                              </w:rPr>
                              <w:t xml:space="preserve">  -0,0560   0,1026  </w:t>
                            </w: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P              0</w:t>
                            </w:r>
                            <w:proofErr w:type="gramStart"/>
                            <w:r w:rsidRPr="00C446F4">
                              <w:rPr>
                                <w:rFonts w:ascii="Courier New" w:hAnsi="Courier New" w:cs="Courier New"/>
                                <w:sz w:val="20"/>
                                <w:szCs w:val="20"/>
                                <w:lang w:val="en-US"/>
                              </w:rPr>
                              <w:t>,2179</w:t>
                            </w:r>
                            <w:proofErr w:type="gramEnd"/>
                            <w:r w:rsidRPr="00C446F4">
                              <w:rPr>
                                <w:rFonts w:ascii="Courier New" w:hAnsi="Courier New" w:cs="Courier New"/>
                                <w:sz w:val="20"/>
                                <w:szCs w:val="20"/>
                                <w:lang w:val="en-US"/>
                              </w:rPr>
                              <w:t xml:space="preserve">  -0,0721  -0,0639  </w:t>
                            </w: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TR             0</w:t>
                            </w:r>
                            <w:proofErr w:type="gramStart"/>
                            <w:r w:rsidRPr="00C446F4">
                              <w:rPr>
                                <w:rFonts w:ascii="Courier New" w:hAnsi="Courier New" w:cs="Courier New"/>
                                <w:sz w:val="20"/>
                                <w:szCs w:val="20"/>
                                <w:lang w:val="en-US"/>
                              </w:rPr>
                              <w:t>,1186</w:t>
                            </w:r>
                            <w:proofErr w:type="gramEnd"/>
                            <w:r w:rsidRPr="00C446F4">
                              <w:rPr>
                                <w:rFonts w:ascii="Courier New" w:hAnsi="Courier New" w:cs="Courier New"/>
                                <w:sz w:val="20"/>
                                <w:szCs w:val="20"/>
                                <w:lang w:val="en-US"/>
                              </w:rPr>
                              <w:t xml:space="preserve">   0,0697   0,1888  </w:t>
                            </w: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CVAB           0</w:t>
                            </w:r>
                            <w:proofErr w:type="gramStart"/>
                            <w:r w:rsidRPr="00C446F4">
                              <w:rPr>
                                <w:rFonts w:ascii="Courier New" w:hAnsi="Courier New" w:cs="Courier New"/>
                                <w:sz w:val="20"/>
                                <w:szCs w:val="20"/>
                                <w:lang w:val="en-US"/>
                              </w:rPr>
                              <w:t>,2550</w:t>
                            </w:r>
                            <w:proofErr w:type="gramEnd"/>
                            <w:r w:rsidRPr="00C446F4">
                              <w:rPr>
                                <w:rFonts w:ascii="Courier New" w:hAnsi="Courier New" w:cs="Courier New"/>
                                <w:sz w:val="20"/>
                                <w:szCs w:val="20"/>
                                <w:lang w:val="en-US"/>
                              </w:rPr>
                              <w:t xml:space="preserve">   0,1017  -0,2998  </w:t>
                            </w: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I             -0</w:t>
                            </w:r>
                            <w:proofErr w:type="gramStart"/>
                            <w:r w:rsidRPr="00C446F4">
                              <w:rPr>
                                <w:rFonts w:ascii="Courier New" w:hAnsi="Courier New" w:cs="Courier New"/>
                                <w:sz w:val="20"/>
                                <w:szCs w:val="20"/>
                                <w:lang w:val="en-US"/>
                              </w:rPr>
                              <w:t>,1570</w:t>
                            </w:r>
                            <w:proofErr w:type="gramEnd"/>
                            <w:r w:rsidRPr="00C446F4">
                              <w:rPr>
                                <w:rFonts w:ascii="Courier New" w:hAnsi="Courier New" w:cs="Courier New"/>
                                <w:sz w:val="20"/>
                                <w:szCs w:val="20"/>
                                <w:lang w:val="en-US"/>
                              </w:rPr>
                              <w:t xml:space="preserve">  -0,5889   0,6320  </w:t>
                            </w: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C              0</w:t>
                            </w:r>
                            <w:proofErr w:type="gramStart"/>
                            <w:r w:rsidRPr="00C446F4">
                              <w:rPr>
                                <w:rFonts w:ascii="Courier New" w:hAnsi="Courier New" w:cs="Courier New"/>
                                <w:sz w:val="20"/>
                                <w:szCs w:val="20"/>
                                <w:lang w:val="en-US"/>
                              </w:rPr>
                              <w:t>,1529</w:t>
                            </w:r>
                            <w:proofErr w:type="gramEnd"/>
                            <w:r w:rsidRPr="00C446F4">
                              <w:rPr>
                                <w:rFonts w:ascii="Courier New" w:hAnsi="Courier New" w:cs="Courier New"/>
                                <w:sz w:val="20"/>
                                <w:szCs w:val="20"/>
                                <w:lang w:val="en-US"/>
                              </w:rPr>
                              <w:t xml:space="preserve">   0,1089  -1,1105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TP            -0,1863   0,4584   0,3662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V              0,3038  -0,0524  -0,3892  </w:t>
                            </w:r>
                          </w:p>
                          <w:p w:rsidR="0044221C" w:rsidRPr="00FB17AC" w:rsidRDefault="0044221C" w:rsidP="00C446F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8" style="position:absolute;left:0;text-align:left;margin-left:-53.85pt;margin-top:4.2pt;width:537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htMwIAAFMEAAAOAAAAZHJzL2Uyb0RvYy54bWysVFGO0zAQ/UfiDpb/aZrSljZqulp1KUJa&#10;YMXCARzHSSwcjxm7TcttOAsXY+K0pQt8IfJheTzj55n3ZrK6ObSG7RV6DTbn6WjMmbISSm3rnH/+&#10;tH2x4MwHYUthwKqcH5XnN+vnz1ady9QEGjClQkYg1medy3kTgsuSxMtGtcKPwClLzgqwFYFMrJMS&#10;RUforUkm4/E86QBLhyCV93R6Nzj5OuJXlZLhQ1V5FZjJOeUW4opxLfo1Wa9EVqNwjZanNMQ/ZNEK&#10;benRC9SdCILtUP8B1WqJ4KEKIwltAlWlpYo1UDXp+LdqHhvhVKyFyPHuQpP/f7Dy/f4BmS5zPnnJ&#10;mRUtafSRWPvx3dY7A4xOiaLO+YwiH90D9kV6dw/yi2cWNo2wtbpFhK5RoqTE0j4+eXKhNzxdZUX3&#10;Dkp6QOwCRLYOFbY9IPHADlGU40UUdQhM0uF8kS6XY9JOkm+6nM7nsyhbIrLzdYc+vFHQsn6Tc6T8&#10;I7zY3/vQpyOyc0hMH4wut9qYaGBdbAyyvaAO2cYvVkBVXocZy7qcL2eTWUR+4vPXEOP4/Q2i1YFa&#10;3eg254tLkMh63l7bMjZiENoMe0rZ2BORPXeDBuFQHAaxzqoUUB6JWYShs2kSadMAfuOso67Ouf+6&#10;E6g4M28tqbNMp9N+DKIxnb2akIHXnuLaI6wkqJwHzobtJgyjs3Oo64ZeSiMbFm5J0UpHrnu1h6xO&#10;6VPnRglOU9aPxrUdo379C9Y/AQAA//8DAFBLAwQUAAYACAAAACEAjyUdweAAAAAKAQAADwAAAGRy&#10;cy9kb3ducmV2LnhtbEyPTU+DQBCG7yb+h82YeGuXfgQoMjRGUxOPLb14G9gRUHaXsEuL/nrXkx4n&#10;75P3fSbfz7oXFx5dZw3CahmBYFNb1ZkG4VweFikI58ko6q1hhC92sC9ub3LKlL2aI19OvhGhxLiM&#10;EFrvh0xKV7esyS3twCZk73bU5MM5NlKNdA3lupfrKIqlps6EhZYGfmq5/jxNGqHq1mf6PpYvkd4d&#10;Nv51Lj+mt2fE+7v58QGE59n/wfCrH9ShCE6VnYxyokdYrKIkCSxCugURgF0cb0BUCEmabEEWufz/&#10;QvEDAAD//wMAUEsBAi0AFAAGAAgAAAAhALaDOJL+AAAA4QEAABMAAAAAAAAAAAAAAAAAAAAAAFtD&#10;b250ZW50X1R5cGVzXS54bWxQSwECLQAUAAYACAAAACEAOP0h/9YAAACUAQAACwAAAAAAAAAAAAAA&#10;AAAvAQAAX3JlbHMvLnJlbHNQSwECLQAUAAYACAAAACEADmn4bTMCAABTBAAADgAAAAAAAAAAAAAA&#10;AAAuAgAAZHJzL2Uyb0RvYy54bWxQSwECLQAUAAYACAAAACEAjyUdweAAAAAKAQAADwAAAAAAAAAA&#10;AAAAAACNBAAAZHJzL2Rvd25yZXYueG1sUEsFBgAAAAAEAAQA8wAAAJoFAAAAAA==&#10;">
                <v:textbox>
                  <w:txbxContent>
                    <w:p w:rsidR="0044221C" w:rsidRPr="000C5CDC" w:rsidRDefault="0044221C" w:rsidP="00C446F4">
                      <w:pPr>
                        <w:autoSpaceDE w:val="0"/>
                        <w:autoSpaceDN w:val="0"/>
                        <w:adjustRightInd w:val="0"/>
                        <w:rPr>
                          <w:rFonts w:ascii="Courier New" w:hAnsi="Courier New" w:cs="Courier New"/>
                          <w:b/>
                          <w:sz w:val="20"/>
                          <w:szCs w:val="20"/>
                        </w:rPr>
                      </w:pPr>
                      <w:r w:rsidRPr="000C5CDC">
                        <w:rPr>
                          <w:rFonts w:ascii="Courier New" w:hAnsi="Courier New" w:cs="Courier New"/>
                          <w:b/>
                          <w:sz w:val="20"/>
                          <w:szCs w:val="20"/>
                        </w:rPr>
                        <w:t>ROTACIÓN VARIMAX:</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44221C" w:rsidRDefault="0044221C" w:rsidP="00C446F4">
                      <w:pPr>
                        <w:autoSpaceDE w:val="0"/>
                        <w:autoSpaceDN w:val="0"/>
                        <w:adjustRightInd w:val="0"/>
                        <w:rPr>
                          <w:rFonts w:ascii="Courier New" w:hAnsi="Courier New" w:cs="Courier New"/>
                          <w:sz w:val="20"/>
                          <w:szCs w:val="20"/>
                        </w:rPr>
                      </w:pPr>
                    </w:p>
                    <w:p w:rsidR="0044221C" w:rsidRPr="000C5CDC" w:rsidRDefault="0044221C" w:rsidP="00C446F4">
                      <w:pPr>
                        <w:autoSpaceDE w:val="0"/>
                        <w:autoSpaceDN w:val="0"/>
                        <w:adjustRightInd w:val="0"/>
                        <w:rPr>
                          <w:rFonts w:ascii="Courier New" w:hAnsi="Courier New" w:cs="Courier New"/>
                          <w:b/>
                          <w:sz w:val="20"/>
                          <w:szCs w:val="20"/>
                        </w:rPr>
                      </w:pPr>
                      <w:r w:rsidRPr="000C5CDC">
                        <w:rPr>
                          <w:rFonts w:ascii="Courier New" w:hAnsi="Courier New" w:cs="Courier New"/>
                          <w:b/>
                          <w:sz w:val="20"/>
                          <w:szCs w:val="20"/>
                        </w:rPr>
                        <w:t>Cargas de los factores retenidos (después de la rotación):</w:t>
                      </w:r>
                    </w:p>
                    <w:p w:rsidR="0044221C" w:rsidRPr="00F34720" w:rsidRDefault="0044221C" w:rsidP="00C446F4">
                      <w:pPr>
                        <w:autoSpaceDE w:val="0"/>
                        <w:autoSpaceDN w:val="0"/>
                        <w:adjustRightInd w:val="0"/>
                        <w:rPr>
                          <w:rFonts w:ascii="Courier New" w:hAnsi="Courier New" w:cs="Courier New"/>
                          <w:sz w:val="20"/>
                          <w:szCs w:val="20"/>
                          <w:lang w:val="pt-BR"/>
                        </w:rPr>
                      </w:pPr>
                    </w:p>
                    <w:p w:rsidR="0044221C" w:rsidRPr="00F34720" w:rsidRDefault="0044221C" w:rsidP="00C446F4">
                      <w:pPr>
                        <w:autoSpaceDE w:val="0"/>
                        <w:autoSpaceDN w:val="0"/>
                        <w:adjustRightInd w:val="0"/>
                        <w:rPr>
                          <w:rFonts w:ascii="Courier New" w:hAnsi="Courier New" w:cs="Courier New"/>
                          <w:sz w:val="20"/>
                          <w:szCs w:val="20"/>
                          <w:lang w:val="pt-BR"/>
                        </w:rPr>
                      </w:pPr>
                      <w:r w:rsidRPr="00F34720">
                        <w:rPr>
                          <w:rFonts w:ascii="Courier New" w:hAnsi="Courier New" w:cs="Courier New"/>
                          <w:sz w:val="20"/>
                          <w:szCs w:val="20"/>
                          <w:lang w:val="pt-BR"/>
                        </w:rPr>
                        <w:t xml:space="preserve">              FACTOR </w:t>
                      </w:r>
                      <w:proofErr w:type="gramStart"/>
                      <w:r w:rsidRPr="00F34720">
                        <w:rPr>
                          <w:rFonts w:ascii="Courier New" w:hAnsi="Courier New" w:cs="Courier New"/>
                          <w:sz w:val="20"/>
                          <w:szCs w:val="20"/>
                          <w:lang w:val="pt-BR"/>
                        </w:rPr>
                        <w:t>1</w:t>
                      </w:r>
                      <w:proofErr w:type="gramEnd"/>
                      <w:r w:rsidRPr="00F34720">
                        <w:rPr>
                          <w:rFonts w:ascii="Courier New" w:hAnsi="Courier New" w:cs="Courier New"/>
                          <w:sz w:val="20"/>
                          <w:szCs w:val="20"/>
                          <w:lang w:val="pt-BR"/>
                        </w:rPr>
                        <w:t xml:space="preserve"> FACTOR 2 FACTOR 3  COMUNALIDAD</w:t>
                      </w:r>
                    </w:p>
                    <w:p w:rsidR="0044221C" w:rsidRPr="00F34720" w:rsidRDefault="0044221C" w:rsidP="00C446F4">
                      <w:pPr>
                        <w:autoSpaceDE w:val="0"/>
                        <w:autoSpaceDN w:val="0"/>
                        <w:adjustRightInd w:val="0"/>
                        <w:rPr>
                          <w:rFonts w:ascii="Courier New" w:hAnsi="Courier New" w:cs="Courier New"/>
                          <w:sz w:val="20"/>
                          <w:szCs w:val="20"/>
                          <w:lang w:val="pt-BR"/>
                        </w:rPr>
                      </w:pPr>
                      <w:r w:rsidRPr="00F34720">
                        <w:rPr>
                          <w:rFonts w:ascii="Courier New" w:hAnsi="Courier New" w:cs="Courier New"/>
                          <w:sz w:val="20"/>
                          <w:szCs w:val="20"/>
                          <w:lang w:val="pt-BR"/>
                        </w:rPr>
                        <w:t xml:space="preserve">              -------- -------- --------</w:t>
                      </w:r>
                      <w:proofErr w:type="gramStart"/>
                      <w:r w:rsidRPr="00F34720">
                        <w:rPr>
                          <w:rFonts w:ascii="Courier New" w:hAnsi="Courier New" w:cs="Courier New"/>
                          <w:sz w:val="20"/>
                          <w:szCs w:val="20"/>
                          <w:lang w:val="pt-BR"/>
                        </w:rPr>
                        <w:t xml:space="preserve">  </w:t>
                      </w:r>
                      <w:proofErr w:type="gramEnd"/>
                      <w:r w:rsidRPr="00F34720">
                        <w:rPr>
                          <w:rFonts w:ascii="Courier New" w:hAnsi="Courier New" w:cs="Courier New"/>
                          <w:sz w:val="20"/>
                          <w:szCs w:val="20"/>
                          <w:lang w:val="pt-BR"/>
                        </w:rPr>
                        <w:t>-----------</w:t>
                      </w:r>
                    </w:p>
                    <w:p w:rsidR="0044221C" w:rsidRPr="00F34720" w:rsidRDefault="0044221C" w:rsidP="00C446F4">
                      <w:pPr>
                        <w:autoSpaceDE w:val="0"/>
                        <w:autoSpaceDN w:val="0"/>
                        <w:adjustRightInd w:val="0"/>
                        <w:rPr>
                          <w:rFonts w:ascii="Courier New" w:hAnsi="Courier New" w:cs="Courier New"/>
                          <w:sz w:val="20"/>
                          <w:szCs w:val="20"/>
                          <w:lang w:val="pt-BR"/>
                        </w:rPr>
                      </w:pPr>
                      <w:r w:rsidRPr="00F34720">
                        <w:rPr>
                          <w:rFonts w:ascii="Courier New" w:hAnsi="Courier New" w:cs="Courier New"/>
                          <w:sz w:val="20"/>
                          <w:szCs w:val="20"/>
                          <w:lang w:val="pt-BR"/>
                        </w:rPr>
                        <w:t>W              0,9558*</w:t>
                      </w:r>
                      <w:proofErr w:type="gramStart"/>
                      <w:r w:rsidRPr="00F34720">
                        <w:rPr>
                          <w:rFonts w:ascii="Courier New" w:hAnsi="Courier New" w:cs="Courier New"/>
                          <w:sz w:val="20"/>
                          <w:szCs w:val="20"/>
                          <w:lang w:val="pt-BR"/>
                        </w:rPr>
                        <w:t xml:space="preserve">  </w:t>
                      </w:r>
                      <w:proofErr w:type="gramEnd"/>
                      <w:r w:rsidRPr="00F34720">
                        <w:rPr>
                          <w:rFonts w:ascii="Courier New" w:hAnsi="Courier New" w:cs="Courier New"/>
                          <w:sz w:val="20"/>
                          <w:szCs w:val="20"/>
                          <w:lang w:val="pt-BR"/>
                        </w:rPr>
                        <w:t xml:space="preserve">0,0369   0,2907      0,9994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P              0,9711* -0,0391   0,2016      0,9852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TR             0,8887*  0,2849   0,3550      0,9970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CVAB           0,9451*  0,2092   0,1196      0,9512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I             -0,2921  -0,9332*  0,0886      0,9639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C             -0,6432  -0,1944  -0,7282*     0,9818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TP            -0,1854   0,9266*  0,2779      0,9701  </w:t>
                      </w: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V              0,9822* -0,0955   0,0374      0,9753  </w:t>
                      </w:r>
                    </w:p>
                    <w:p w:rsidR="0044221C" w:rsidRPr="00F34720" w:rsidRDefault="0044221C" w:rsidP="00C446F4">
                      <w:pPr>
                        <w:autoSpaceDE w:val="0"/>
                        <w:autoSpaceDN w:val="0"/>
                        <w:adjustRightInd w:val="0"/>
                        <w:rPr>
                          <w:rFonts w:ascii="Courier New" w:hAnsi="Courier New" w:cs="Courier New"/>
                          <w:sz w:val="20"/>
                          <w:szCs w:val="20"/>
                          <w:lang w:val="it-IT"/>
                        </w:rPr>
                      </w:pPr>
                    </w:p>
                    <w:p w:rsidR="0044221C" w:rsidRPr="00F34720" w:rsidRDefault="0044221C" w:rsidP="00C446F4">
                      <w:pPr>
                        <w:autoSpaceDE w:val="0"/>
                        <w:autoSpaceDN w:val="0"/>
                        <w:adjustRightInd w:val="0"/>
                        <w:rPr>
                          <w:rFonts w:ascii="Courier New" w:hAnsi="Courier New" w:cs="Courier New"/>
                          <w:sz w:val="20"/>
                          <w:szCs w:val="20"/>
                          <w:lang w:val="it-IT"/>
                        </w:rPr>
                      </w:pPr>
                      <w:r w:rsidRPr="00F34720">
                        <w:rPr>
                          <w:rFonts w:ascii="Courier New" w:hAnsi="Courier New" w:cs="Courier New"/>
                          <w:sz w:val="20"/>
                          <w:szCs w:val="20"/>
                          <w:lang w:val="it-IT"/>
                        </w:rPr>
                        <w:t xml:space="preserve">VARIANZA:      5,0377   1,9041   0,8822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DE VARIANZA</w:t>
                      </w:r>
                      <w:proofErr w:type="gramStart"/>
                      <w:r>
                        <w:rPr>
                          <w:rFonts w:ascii="Courier New" w:hAnsi="Courier New" w:cs="Courier New"/>
                          <w:sz w:val="20"/>
                          <w:szCs w:val="20"/>
                        </w:rPr>
                        <w:t>:  62,97</w:t>
                      </w:r>
                      <w:proofErr w:type="gramEnd"/>
                      <w:r>
                        <w:rPr>
                          <w:rFonts w:ascii="Courier New" w:hAnsi="Courier New" w:cs="Courier New"/>
                          <w:sz w:val="20"/>
                          <w:szCs w:val="20"/>
                        </w:rPr>
                        <w:t xml:space="preserve">%   23,80%   11,03%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VAR.ACUMUL.</w:t>
                      </w:r>
                      <w:proofErr w:type="gramStart"/>
                      <w:r>
                        <w:rPr>
                          <w:rFonts w:ascii="Courier New" w:hAnsi="Courier New" w:cs="Courier New"/>
                          <w:sz w:val="20"/>
                          <w:szCs w:val="20"/>
                        </w:rPr>
                        <w:t>:  62,97</w:t>
                      </w:r>
                      <w:proofErr w:type="gramEnd"/>
                      <w:r>
                        <w:rPr>
                          <w:rFonts w:ascii="Courier New" w:hAnsi="Courier New" w:cs="Courier New"/>
                          <w:sz w:val="20"/>
                          <w:szCs w:val="20"/>
                        </w:rPr>
                        <w:t xml:space="preserve">%   86,77%   97,80% </w:t>
                      </w:r>
                    </w:p>
                    <w:p w:rsidR="0044221C" w:rsidRPr="000C5CDC" w:rsidRDefault="0044221C" w:rsidP="00C446F4">
                      <w:pPr>
                        <w:autoSpaceDE w:val="0"/>
                        <w:autoSpaceDN w:val="0"/>
                        <w:adjustRightInd w:val="0"/>
                        <w:rPr>
                          <w:rFonts w:ascii="Courier New" w:hAnsi="Courier New" w:cs="Courier New"/>
                          <w:b/>
                          <w:sz w:val="20"/>
                          <w:szCs w:val="20"/>
                        </w:rPr>
                      </w:pPr>
                    </w:p>
                    <w:p w:rsidR="0044221C" w:rsidRPr="000C5CDC" w:rsidRDefault="0044221C" w:rsidP="00C446F4">
                      <w:pPr>
                        <w:autoSpaceDE w:val="0"/>
                        <w:autoSpaceDN w:val="0"/>
                        <w:adjustRightInd w:val="0"/>
                        <w:rPr>
                          <w:rFonts w:ascii="Courier New" w:hAnsi="Courier New" w:cs="Courier New"/>
                          <w:b/>
                          <w:sz w:val="20"/>
                          <w:szCs w:val="20"/>
                        </w:rPr>
                      </w:pPr>
                      <w:r w:rsidRPr="000C5CDC">
                        <w:rPr>
                          <w:rFonts w:ascii="Courier New" w:hAnsi="Courier New" w:cs="Courier New"/>
                          <w:b/>
                          <w:sz w:val="20"/>
                          <w:szCs w:val="20"/>
                        </w:rPr>
                        <w:t>COEFICIENTES DE</w:t>
                      </w:r>
                    </w:p>
                    <w:p w:rsidR="0044221C" w:rsidRPr="000C5CDC" w:rsidRDefault="0044221C" w:rsidP="00C446F4">
                      <w:pPr>
                        <w:autoSpaceDE w:val="0"/>
                        <w:autoSpaceDN w:val="0"/>
                        <w:adjustRightInd w:val="0"/>
                        <w:rPr>
                          <w:rFonts w:ascii="Courier New" w:hAnsi="Courier New" w:cs="Courier New"/>
                          <w:b/>
                          <w:sz w:val="20"/>
                          <w:szCs w:val="20"/>
                        </w:rPr>
                      </w:pPr>
                      <w:r w:rsidRPr="000C5CDC">
                        <w:rPr>
                          <w:rFonts w:ascii="Courier New" w:hAnsi="Courier New" w:cs="Courier New"/>
                          <w:b/>
                          <w:sz w:val="20"/>
                          <w:szCs w:val="20"/>
                        </w:rPr>
                        <w:t>PUNTUACIÓN DE</w:t>
                      </w:r>
                    </w:p>
                    <w:p w:rsidR="0044221C" w:rsidRPr="000C5CDC" w:rsidRDefault="0044221C" w:rsidP="00C446F4">
                      <w:pPr>
                        <w:autoSpaceDE w:val="0"/>
                        <w:autoSpaceDN w:val="0"/>
                        <w:adjustRightInd w:val="0"/>
                        <w:rPr>
                          <w:rFonts w:ascii="Courier New" w:hAnsi="Courier New" w:cs="Courier New"/>
                          <w:b/>
                          <w:sz w:val="20"/>
                          <w:szCs w:val="20"/>
                        </w:rPr>
                      </w:pPr>
                      <w:r w:rsidRPr="000C5CDC">
                        <w:rPr>
                          <w:rFonts w:ascii="Courier New" w:hAnsi="Courier New" w:cs="Courier New"/>
                          <w:b/>
                          <w:sz w:val="20"/>
                          <w:szCs w:val="20"/>
                        </w:rPr>
                        <w:t>LOS FACTORES:</w:t>
                      </w:r>
                    </w:p>
                    <w:p w:rsidR="0044221C" w:rsidRDefault="0044221C" w:rsidP="00C446F4">
                      <w:pPr>
                        <w:autoSpaceDE w:val="0"/>
                        <w:autoSpaceDN w:val="0"/>
                        <w:adjustRightInd w:val="0"/>
                        <w:rPr>
                          <w:rFonts w:ascii="Courier New" w:hAnsi="Courier New" w:cs="Courier New"/>
                          <w:sz w:val="20"/>
                          <w:szCs w:val="20"/>
                        </w:rPr>
                      </w:pP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W              0</w:t>
                      </w:r>
                      <w:proofErr w:type="gramStart"/>
                      <w:r w:rsidRPr="00C446F4">
                        <w:rPr>
                          <w:rFonts w:ascii="Courier New" w:hAnsi="Courier New" w:cs="Courier New"/>
                          <w:sz w:val="20"/>
                          <w:szCs w:val="20"/>
                          <w:lang w:val="en-US"/>
                        </w:rPr>
                        <w:t>,1691</w:t>
                      </w:r>
                      <w:proofErr w:type="gramEnd"/>
                      <w:r w:rsidRPr="00C446F4">
                        <w:rPr>
                          <w:rFonts w:ascii="Courier New" w:hAnsi="Courier New" w:cs="Courier New"/>
                          <w:sz w:val="20"/>
                          <w:szCs w:val="20"/>
                          <w:lang w:val="en-US"/>
                        </w:rPr>
                        <w:t xml:space="preserve">  -0,0560   0,1026  </w:t>
                      </w: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P              0</w:t>
                      </w:r>
                      <w:proofErr w:type="gramStart"/>
                      <w:r w:rsidRPr="00C446F4">
                        <w:rPr>
                          <w:rFonts w:ascii="Courier New" w:hAnsi="Courier New" w:cs="Courier New"/>
                          <w:sz w:val="20"/>
                          <w:szCs w:val="20"/>
                          <w:lang w:val="en-US"/>
                        </w:rPr>
                        <w:t>,2179</w:t>
                      </w:r>
                      <w:proofErr w:type="gramEnd"/>
                      <w:r w:rsidRPr="00C446F4">
                        <w:rPr>
                          <w:rFonts w:ascii="Courier New" w:hAnsi="Courier New" w:cs="Courier New"/>
                          <w:sz w:val="20"/>
                          <w:szCs w:val="20"/>
                          <w:lang w:val="en-US"/>
                        </w:rPr>
                        <w:t xml:space="preserve">  -0,0721  -0,0639  </w:t>
                      </w: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TR             0</w:t>
                      </w:r>
                      <w:proofErr w:type="gramStart"/>
                      <w:r w:rsidRPr="00C446F4">
                        <w:rPr>
                          <w:rFonts w:ascii="Courier New" w:hAnsi="Courier New" w:cs="Courier New"/>
                          <w:sz w:val="20"/>
                          <w:szCs w:val="20"/>
                          <w:lang w:val="en-US"/>
                        </w:rPr>
                        <w:t>,1186</w:t>
                      </w:r>
                      <w:proofErr w:type="gramEnd"/>
                      <w:r w:rsidRPr="00C446F4">
                        <w:rPr>
                          <w:rFonts w:ascii="Courier New" w:hAnsi="Courier New" w:cs="Courier New"/>
                          <w:sz w:val="20"/>
                          <w:szCs w:val="20"/>
                          <w:lang w:val="en-US"/>
                        </w:rPr>
                        <w:t xml:space="preserve">   0,0697   0,1888  </w:t>
                      </w: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CVAB           0</w:t>
                      </w:r>
                      <w:proofErr w:type="gramStart"/>
                      <w:r w:rsidRPr="00C446F4">
                        <w:rPr>
                          <w:rFonts w:ascii="Courier New" w:hAnsi="Courier New" w:cs="Courier New"/>
                          <w:sz w:val="20"/>
                          <w:szCs w:val="20"/>
                          <w:lang w:val="en-US"/>
                        </w:rPr>
                        <w:t>,2550</w:t>
                      </w:r>
                      <w:proofErr w:type="gramEnd"/>
                      <w:r w:rsidRPr="00C446F4">
                        <w:rPr>
                          <w:rFonts w:ascii="Courier New" w:hAnsi="Courier New" w:cs="Courier New"/>
                          <w:sz w:val="20"/>
                          <w:szCs w:val="20"/>
                          <w:lang w:val="en-US"/>
                        </w:rPr>
                        <w:t xml:space="preserve">   0,1017  -0,2998  </w:t>
                      </w: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I             -0</w:t>
                      </w:r>
                      <w:proofErr w:type="gramStart"/>
                      <w:r w:rsidRPr="00C446F4">
                        <w:rPr>
                          <w:rFonts w:ascii="Courier New" w:hAnsi="Courier New" w:cs="Courier New"/>
                          <w:sz w:val="20"/>
                          <w:szCs w:val="20"/>
                          <w:lang w:val="en-US"/>
                        </w:rPr>
                        <w:t>,1570</w:t>
                      </w:r>
                      <w:proofErr w:type="gramEnd"/>
                      <w:r w:rsidRPr="00C446F4">
                        <w:rPr>
                          <w:rFonts w:ascii="Courier New" w:hAnsi="Courier New" w:cs="Courier New"/>
                          <w:sz w:val="20"/>
                          <w:szCs w:val="20"/>
                          <w:lang w:val="en-US"/>
                        </w:rPr>
                        <w:t xml:space="preserve">  -0,5889   0,6320  </w:t>
                      </w:r>
                    </w:p>
                    <w:p w:rsidR="0044221C" w:rsidRPr="00C446F4" w:rsidRDefault="0044221C" w:rsidP="00C446F4">
                      <w:pPr>
                        <w:autoSpaceDE w:val="0"/>
                        <w:autoSpaceDN w:val="0"/>
                        <w:adjustRightInd w:val="0"/>
                        <w:rPr>
                          <w:rFonts w:ascii="Courier New" w:hAnsi="Courier New" w:cs="Courier New"/>
                          <w:sz w:val="20"/>
                          <w:szCs w:val="20"/>
                          <w:lang w:val="en-US"/>
                        </w:rPr>
                      </w:pPr>
                      <w:r w:rsidRPr="00C446F4">
                        <w:rPr>
                          <w:rFonts w:ascii="Courier New" w:hAnsi="Courier New" w:cs="Courier New"/>
                          <w:sz w:val="20"/>
                          <w:szCs w:val="20"/>
                          <w:lang w:val="en-US"/>
                        </w:rPr>
                        <w:t>C              0</w:t>
                      </w:r>
                      <w:proofErr w:type="gramStart"/>
                      <w:r w:rsidRPr="00C446F4">
                        <w:rPr>
                          <w:rFonts w:ascii="Courier New" w:hAnsi="Courier New" w:cs="Courier New"/>
                          <w:sz w:val="20"/>
                          <w:szCs w:val="20"/>
                          <w:lang w:val="en-US"/>
                        </w:rPr>
                        <w:t>,1529</w:t>
                      </w:r>
                      <w:proofErr w:type="gramEnd"/>
                      <w:r w:rsidRPr="00C446F4">
                        <w:rPr>
                          <w:rFonts w:ascii="Courier New" w:hAnsi="Courier New" w:cs="Courier New"/>
                          <w:sz w:val="20"/>
                          <w:szCs w:val="20"/>
                          <w:lang w:val="en-US"/>
                        </w:rPr>
                        <w:t xml:space="preserve">   0,1089  -1,1105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TP            -0,1863   0,4584   0,3662  </w:t>
                      </w:r>
                    </w:p>
                    <w:p w:rsidR="0044221C" w:rsidRDefault="0044221C" w:rsidP="00C446F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V              0,3038  -0,0524  -0,3892  </w:t>
                      </w:r>
                    </w:p>
                    <w:p w:rsidR="0044221C" w:rsidRPr="00FB17AC" w:rsidRDefault="0044221C" w:rsidP="00C446F4">
                      <w:pPr>
                        <w:rPr>
                          <w:sz w:val="18"/>
                          <w:szCs w:val="18"/>
                        </w:rPr>
                      </w:pPr>
                    </w:p>
                  </w:txbxContent>
                </v:textbox>
                <w10:wrap type="square"/>
              </v:rect>
            </w:pict>
          </mc:Fallback>
        </mc:AlternateContent>
      </w:r>
    </w:p>
    <w:p w:rsidR="00C446F4" w:rsidRPr="00FA5E38" w:rsidRDefault="00C446F4" w:rsidP="00C446F4">
      <w:pPr>
        <w:jc w:val="center"/>
        <w:rPr>
          <w:b/>
          <w:sz w:val="20"/>
          <w:szCs w:val="22"/>
        </w:rPr>
      </w:pPr>
      <w:r w:rsidRPr="00FA5E38">
        <w:rPr>
          <w:b/>
          <w:sz w:val="20"/>
          <w:szCs w:val="22"/>
        </w:rPr>
        <w:t>Fuente: Elaboración propia</w:t>
      </w:r>
    </w:p>
    <w:p w:rsidR="00C446F4" w:rsidRDefault="00C446F4" w:rsidP="00C446F4">
      <w:pPr>
        <w:jc w:val="both"/>
      </w:pPr>
    </w:p>
    <w:p w:rsidR="00C446F4" w:rsidRDefault="00C446F4" w:rsidP="00C446F4">
      <w:pPr>
        <w:jc w:val="both"/>
      </w:pPr>
      <w:r>
        <w:t xml:space="preserve">El análisis factorial realizado permite eliminar la multicolinealidad de las variables originales a través de calcular una serie de factores que son combinaciones lineales de dichas variables, y que son independientes entre sí. </w:t>
      </w:r>
    </w:p>
    <w:p w:rsidR="00C446F4" w:rsidRDefault="00C446F4" w:rsidP="00C446F4">
      <w:pPr>
        <w:jc w:val="both"/>
      </w:pPr>
    </w:p>
    <w:p w:rsidR="00C446F4" w:rsidRDefault="00C446F4" w:rsidP="00C446F4">
      <w:pPr>
        <w:jc w:val="both"/>
      </w:pPr>
      <w:r>
        <w:t xml:space="preserve">El número de factores a retener suelen ser (entre otros criterios), los que tienen un valor propio o </w:t>
      </w:r>
      <w:proofErr w:type="spellStart"/>
      <w:r>
        <w:t>autovalor</w:t>
      </w:r>
      <w:proofErr w:type="spellEnd"/>
      <w:r>
        <w:t xml:space="preserve"> mayor que 1. Sin embargo, el criterio final de elección depende del investigador. En este caso, se ha decidido escoger tres factores, a pesar de que el último tiene  un valor propio menor que 1. Las razones de esta decisión son que permite aumentar la varianza explicada acumulada hasta el 97,8% aproximadamente, lo que da mayor robustez al análisis. También se ha tenido en cuenta que el tercer factor por sí solo representa la variable confianza, lo que ayuda en la interpretación de los factores y permite que no haya interpretaciones incoherentes. </w:t>
      </w:r>
    </w:p>
    <w:p w:rsidR="00C446F4" w:rsidRDefault="00C446F4" w:rsidP="00C446F4">
      <w:pPr>
        <w:jc w:val="both"/>
      </w:pPr>
    </w:p>
    <w:p w:rsidR="00C446F4" w:rsidRDefault="00C446F4" w:rsidP="00C446F4">
      <w:pPr>
        <w:jc w:val="both"/>
      </w:pPr>
      <w:r>
        <w:t xml:space="preserve">En cuanto a las variables a las que se asocia cada factor, tras realizar el análisis de la rotación </w:t>
      </w:r>
      <w:proofErr w:type="spellStart"/>
      <w:r>
        <w:t>varimax</w:t>
      </w:r>
      <w:proofErr w:type="spellEnd"/>
      <w:r>
        <w:t>, se puede observar la siguiente relación:</w:t>
      </w:r>
    </w:p>
    <w:p w:rsidR="00C446F4" w:rsidRDefault="00C446F4" w:rsidP="00C446F4">
      <w:pPr>
        <w:jc w:val="both"/>
      </w:pPr>
    </w:p>
    <w:p w:rsidR="00C446F4" w:rsidRDefault="00C446F4" w:rsidP="00C446F4">
      <w:pPr>
        <w:numPr>
          <w:ilvl w:val="0"/>
          <w:numId w:val="13"/>
        </w:numPr>
        <w:jc w:val="both"/>
      </w:pPr>
      <w:r w:rsidRPr="00535891">
        <w:rPr>
          <w:b/>
        </w:rPr>
        <w:t>FACTOR 1</w:t>
      </w:r>
      <w:r>
        <w:t>: Asociado a los sueldos y salarios, el excedente bruto de explotación, las transferencias corrientes, los créditos concedidos y el precio de la vivienda. Por tanto, a este factor se le denomina “Renta y Riqueza”.</w:t>
      </w:r>
    </w:p>
    <w:p w:rsidR="00C446F4" w:rsidRDefault="00C446F4" w:rsidP="00C446F4">
      <w:pPr>
        <w:jc w:val="both"/>
      </w:pPr>
    </w:p>
    <w:p w:rsidR="00C446F4" w:rsidRDefault="00C446F4" w:rsidP="00C446F4">
      <w:pPr>
        <w:numPr>
          <w:ilvl w:val="0"/>
          <w:numId w:val="13"/>
        </w:numPr>
        <w:jc w:val="both"/>
      </w:pPr>
      <w:r w:rsidRPr="00535891">
        <w:rPr>
          <w:b/>
        </w:rPr>
        <w:t>FACTOR 2</w:t>
      </w:r>
      <w:r>
        <w:t>: Asociado a la tasa de inflación y a la tasa de paro. Se le denomina “Inflación/Paro”. El factor representará en sus valore</w:t>
      </w:r>
      <w:r w:rsidR="006E1D0C">
        <w:t>s</w:t>
      </w:r>
      <w:r>
        <w:t xml:space="preserve"> negativos la mayor influencia de la inflación. En caso de los valores positivos, representa la mayor influencia del paro.</w:t>
      </w:r>
    </w:p>
    <w:p w:rsidR="00C446F4" w:rsidRDefault="00C446F4" w:rsidP="00C446F4">
      <w:pPr>
        <w:numPr>
          <w:ilvl w:val="0"/>
          <w:numId w:val="13"/>
        </w:numPr>
        <w:jc w:val="both"/>
      </w:pPr>
      <w:r w:rsidRPr="00535891">
        <w:rPr>
          <w:b/>
        </w:rPr>
        <w:t>FACTOR 3</w:t>
      </w:r>
      <w:r>
        <w:t xml:space="preserve">: Asociado A la confianza de los consumidores. Se le denomina “Confianza”. </w:t>
      </w:r>
    </w:p>
    <w:p w:rsidR="00C446F4" w:rsidRDefault="00C446F4" w:rsidP="00C446F4">
      <w:pPr>
        <w:ind w:left="360"/>
        <w:jc w:val="both"/>
      </w:pPr>
    </w:p>
    <w:p w:rsidR="00C446F4" w:rsidRDefault="00C446F4" w:rsidP="00C446F4">
      <w:pPr>
        <w:jc w:val="both"/>
      </w:pPr>
      <w:r>
        <w:t>Por tanto, estos factores calculados son los que se van a utilizar como variables independientes del modelo de regresión múltiple que se quiere realizar. La especificación del modelo es la siguiente:</w:t>
      </w:r>
    </w:p>
    <w:p w:rsidR="00C446F4" w:rsidRDefault="00C446F4" w:rsidP="00C446F4">
      <w:pPr>
        <w:jc w:val="both"/>
      </w:pPr>
    </w:p>
    <w:p w:rsidR="00C446F4" w:rsidRDefault="008B22DF" w:rsidP="008B22DF">
      <w:pPr>
        <w:jc w:val="center"/>
      </w:pPr>
      <w:r w:rsidRPr="00FD27E2">
        <w:rPr>
          <w:position w:val="-12"/>
        </w:rPr>
        <w:object w:dxaOrig="7060" w:dyaOrig="360">
          <v:shape id="_x0000_i1034" type="#_x0000_t75" style="width:353.25pt;height:18pt" o:ole="">
            <v:imagedata r:id="rId35" o:title=""/>
          </v:shape>
          <o:OLEObject Type="Embed" ProgID="Equation.3" ShapeID="_x0000_i1034" DrawAspect="Content" ObjectID="_1367993818" r:id="rId36"/>
        </w:object>
      </w:r>
    </w:p>
    <w:p w:rsidR="00C446F4" w:rsidRDefault="00C446F4" w:rsidP="00C446F4">
      <w:pPr>
        <w:jc w:val="center"/>
        <w:rPr>
          <w:b/>
        </w:rPr>
      </w:pPr>
    </w:p>
    <w:p w:rsidR="00C446F4" w:rsidRDefault="00C446F4" w:rsidP="00C446F4">
      <w:pPr>
        <w:jc w:val="center"/>
        <w:rPr>
          <w:b/>
        </w:rPr>
      </w:pPr>
      <w:r w:rsidRPr="00206A19">
        <w:rPr>
          <w:b/>
        </w:rPr>
        <w:t xml:space="preserve">Cuadro </w:t>
      </w:r>
      <w:r>
        <w:rPr>
          <w:b/>
        </w:rPr>
        <w:t>3</w:t>
      </w:r>
      <w:r w:rsidRPr="00206A19">
        <w:rPr>
          <w:b/>
        </w:rPr>
        <w:t xml:space="preserve">. </w:t>
      </w:r>
      <w:r>
        <w:rPr>
          <w:b/>
        </w:rPr>
        <w:t>Modelo de regresión múltiple</w:t>
      </w:r>
    </w:p>
    <w:p w:rsidR="00C446F4" w:rsidRDefault="00C446F4" w:rsidP="00C446F4">
      <w:pPr>
        <w:jc w:val="center"/>
        <w:rPr>
          <w:b/>
        </w:rPr>
      </w:pPr>
      <w:r>
        <w:rPr>
          <w:noProof/>
          <w:lang w:val="es-ES_tradnl" w:eastAsia="es-ES_tradnl"/>
        </w:rPr>
        <mc:AlternateContent>
          <mc:Choice Requires="wps">
            <w:drawing>
              <wp:anchor distT="0" distB="0" distL="114300" distR="114300" simplePos="0" relativeHeight="251662336" behindDoc="0" locked="0" layoutInCell="1" allowOverlap="1" wp14:anchorId="0D81C3BF" wp14:editId="463F35B3">
                <wp:simplePos x="0" y="0"/>
                <wp:positionH relativeFrom="column">
                  <wp:posOffset>-800100</wp:posOffset>
                </wp:positionH>
                <wp:positionV relativeFrom="paragraph">
                  <wp:posOffset>107950</wp:posOffset>
                </wp:positionV>
                <wp:extent cx="6972300" cy="5327015"/>
                <wp:effectExtent l="13335" t="9525" r="5715" b="698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327015"/>
                        </a:xfrm>
                        <a:prstGeom prst="rect">
                          <a:avLst/>
                        </a:prstGeom>
                        <a:solidFill>
                          <a:srgbClr val="FFFFFF"/>
                        </a:solidFill>
                        <a:ln w="9525">
                          <a:solidFill>
                            <a:srgbClr val="000000"/>
                          </a:solidFill>
                          <a:miter lim="800000"/>
                          <a:headEnd/>
                          <a:tailEnd/>
                        </a:ln>
                      </wps:spPr>
                      <wps:txbx>
                        <w:txbxContent>
                          <w:p w:rsidR="0044221C" w:rsidRPr="004B37A2" w:rsidRDefault="0044221C" w:rsidP="00C446F4">
                            <w:pPr>
                              <w:autoSpaceDE w:val="0"/>
                              <w:autoSpaceDN w:val="0"/>
                              <w:adjustRightInd w:val="0"/>
                              <w:rPr>
                                <w:rFonts w:ascii="Courier New" w:hAnsi="Courier New" w:cs="Courier New"/>
                                <w:b/>
                                <w:sz w:val="16"/>
                                <w:szCs w:val="16"/>
                              </w:rPr>
                            </w:pPr>
                            <w:r w:rsidRPr="004B37A2">
                              <w:rPr>
                                <w:rFonts w:ascii="Courier New" w:hAnsi="Courier New" w:cs="Courier New"/>
                                <w:b/>
                                <w:sz w:val="16"/>
                                <w:szCs w:val="16"/>
                              </w:rPr>
                              <w:t>IDENTIFICACIÓN DE LAS VARIABLES</w:t>
                            </w:r>
                          </w:p>
                          <w:p w:rsidR="0044221C" w:rsidRPr="004B37A2" w:rsidRDefault="0044221C" w:rsidP="00C446F4">
                            <w:pPr>
                              <w:autoSpaceDE w:val="0"/>
                              <w:autoSpaceDN w:val="0"/>
                              <w:adjustRightInd w:val="0"/>
                              <w:rPr>
                                <w:rFonts w:ascii="Courier New" w:hAnsi="Courier New" w:cs="Courier New"/>
                                <w:sz w:val="16"/>
                                <w:szCs w:val="16"/>
                              </w:rPr>
                            </w:pP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VARIABLE DEPENDIENTE: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  S        - Tasa de Ahorro de los Hogares</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VARIABLES INDEPENDIENTES:</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1. FACTOR 1 - Renta y Riqueza</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2. FACTOR 2 - Inflación y </w:t>
                            </w:r>
                            <w:r>
                              <w:rPr>
                                <w:rFonts w:ascii="Courier New" w:hAnsi="Courier New" w:cs="Courier New"/>
                                <w:sz w:val="16"/>
                                <w:szCs w:val="16"/>
                              </w:rPr>
                              <w:t>Paro</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3. FACTOR 3 - Confianza</w:t>
                            </w:r>
                          </w:p>
                          <w:p w:rsidR="0044221C" w:rsidRPr="004B37A2" w:rsidRDefault="0044221C" w:rsidP="00C446F4">
                            <w:pPr>
                              <w:autoSpaceDE w:val="0"/>
                              <w:autoSpaceDN w:val="0"/>
                              <w:adjustRightInd w:val="0"/>
                              <w:rPr>
                                <w:rFonts w:ascii="Courier New" w:hAnsi="Courier New" w:cs="Courier New"/>
                                <w:sz w:val="16"/>
                                <w:szCs w:val="16"/>
                              </w:rPr>
                            </w:pPr>
                          </w:p>
                          <w:p w:rsidR="0044221C" w:rsidRPr="00141581" w:rsidRDefault="0044221C" w:rsidP="00C446F4">
                            <w:pPr>
                              <w:autoSpaceDE w:val="0"/>
                              <w:autoSpaceDN w:val="0"/>
                              <w:adjustRightInd w:val="0"/>
                              <w:rPr>
                                <w:rFonts w:ascii="Courier New" w:hAnsi="Courier New" w:cs="Courier New"/>
                                <w:b/>
                                <w:sz w:val="16"/>
                                <w:szCs w:val="16"/>
                              </w:rPr>
                            </w:pPr>
                            <w:r w:rsidRPr="00141581">
                              <w:rPr>
                                <w:rFonts w:ascii="Courier New" w:hAnsi="Courier New" w:cs="Courier New"/>
                                <w:b/>
                                <w:sz w:val="16"/>
                                <w:szCs w:val="16"/>
                              </w:rPr>
                              <w:t>Matriz de coeficientes de correlación simple:</w:t>
                            </w:r>
                          </w:p>
                          <w:p w:rsidR="0044221C" w:rsidRPr="00141581" w:rsidRDefault="0044221C" w:rsidP="00C446F4">
                            <w:pPr>
                              <w:autoSpaceDE w:val="0"/>
                              <w:autoSpaceDN w:val="0"/>
                              <w:adjustRightInd w:val="0"/>
                              <w:rPr>
                                <w:rFonts w:ascii="Courier New" w:hAnsi="Courier New" w:cs="Courier New"/>
                                <w:sz w:val="16"/>
                                <w:szCs w:val="16"/>
                              </w:rPr>
                            </w:pPr>
                          </w:p>
                          <w:p w:rsidR="0044221C" w:rsidRPr="004B37A2" w:rsidRDefault="0044221C" w:rsidP="00C446F4">
                            <w:pPr>
                              <w:autoSpaceDE w:val="0"/>
                              <w:autoSpaceDN w:val="0"/>
                              <w:adjustRightInd w:val="0"/>
                              <w:rPr>
                                <w:rFonts w:ascii="Courier New" w:hAnsi="Courier New" w:cs="Courier New"/>
                                <w:sz w:val="16"/>
                                <w:szCs w:val="16"/>
                                <w:lang w:val="pt-BR"/>
                              </w:rPr>
                            </w:pPr>
                            <w:r w:rsidRPr="00141581">
                              <w:rPr>
                                <w:rFonts w:ascii="Courier New" w:hAnsi="Courier New" w:cs="Courier New"/>
                                <w:sz w:val="16"/>
                                <w:szCs w:val="16"/>
                              </w:rPr>
                              <w:t xml:space="preserve">          </w:t>
                            </w:r>
                            <w:r w:rsidRPr="004B37A2">
                              <w:rPr>
                                <w:rFonts w:ascii="Courier New" w:hAnsi="Courier New" w:cs="Courier New"/>
                                <w:sz w:val="16"/>
                                <w:szCs w:val="16"/>
                                <w:lang w:val="pt-BR"/>
                              </w:rPr>
                              <w:t xml:space="preserve">S        FACTOR </w:t>
                            </w:r>
                            <w:proofErr w:type="gramStart"/>
                            <w:r w:rsidRPr="004B37A2">
                              <w:rPr>
                                <w:rFonts w:ascii="Courier New" w:hAnsi="Courier New" w:cs="Courier New"/>
                                <w:sz w:val="16"/>
                                <w:szCs w:val="16"/>
                                <w:lang w:val="pt-BR"/>
                              </w:rPr>
                              <w:t>1</w:t>
                            </w:r>
                            <w:proofErr w:type="gramEnd"/>
                            <w:r w:rsidRPr="004B37A2">
                              <w:rPr>
                                <w:rFonts w:ascii="Courier New" w:hAnsi="Courier New" w:cs="Courier New"/>
                                <w:sz w:val="16"/>
                                <w:szCs w:val="16"/>
                                <w:lang w:val="pt-BR"/>
                              </w:rPr>
                              <w:t xml:space="preserve"> FACTOR 2 FACTOR 3 </w:t>
                            </w:r>
                          </w:p>
                          <w:p w:rsidR="0044221C" w:rsidRPr="004B37A2" w:rsidRDefault="0044221C" w:rsidP="00C446F4">
                            <w:pPr>
                              <w:autoSpaceDE w:val="0"/>
                              <w:autoSpaceDN w:val="0"/>
                              <w:adjustRightInd w:val="0"/>
                              <w:rPr>
                                <w:rFonts w:ascii="Courier New" w:hAnsi="Courier New" w:cs="Courier New"/>
                                <w:sz w:val="16"/>
                                <w:szCs w:val="16"/>
                                <w:lang w:val="pt-BR"/>
                              </w:rPr>
                            </w:pPr>
                            <w:r w:rsidRPr="004B37A2">
                              <w:rPr>
                                <w:rFonts w:ascii="Courier New" w:hAnsi="Courier New" w:cs="Courier New"/>
                                <w:sz w:val="16"/>
                                <w:szCs w:val="16"/>
                                <w:lang w:val="pt-BR"/>
                              </w:rPr>
                              <w:t xml:space="preserve">          -------- -------- -------- -------- </w:t>
                            </w:r>
                          </w:p>
                          <w:p w:rsidR="0044221C" w:rsidRPr="004B37A2" w:rsidRDefault="0044221C" w:rsidP="00C446F4">
                            <w:pPr>
                              <w:autoSpaceDE w:val="0"/>
                              <w:autoSpaceDN w:val="0"/>
                              <w:adjustRightInd w:val="0"/>
                              <w:rPr>
                                <w:rFonts w:ascii="Courier New" w:hAnsi="Courier New" w:cs="Courier New"/>
                                <w:sz w:val="16"/>
                                <w:szCs w:val="16"/>
                                <w:lang w:val="pt-BR"/>
                              </w:rPr>
                            </w:pPr>
                            <w:r w:rsidRPr="004B37A2">
                              <w:rPr>
                                <w:rFonts w:ascii="Courier New" w:hAnsi="Courier New" w:cs="Courier New"/>
                                <w:sz w:val="16"/>
                                <w:szCs w:val="16"/>
                                <w:lang w:val="pt-BR"/>
                              </w:rPr>
                              <w:t>S          1,0000</w:t>
                            </w:r>
                            <w:proofErr w:type="gramStart"/>
                            <w:r w:rsidRPr="004B37A2">
                              <w:rPr>
                                <w:rFonts w:ascii="Courier New" w:hAnsi="Courier New" w:cs="Courier New"/>
                                <w:sz w:val="16"/>
                                <w:szCs w:val="16"/>
                                <w:lang w:val="pt-BR"/>
                              </w:rPr>
                              <w:t xml:space="preserve">   </w:t>
                            </w:r>
                            <w:proofErr w:type="gramEnd"/>
                            <w:r w:rsidRPr="004B37A2">
                              <w:rPr>
                                <w:rFonts w:ascii="Courier New" w:hAnsi="Courier New" w:cs="Courier New"/>
                                <w:sz w:val="16"/>
                                <w:szCs w:val="16"/>
                                <w:lang w:val="pt-BR"/>
                              </w:rPr>
                              <w:t xml:space="preserve">0,2915   0,8278   0,3948 </w:t>
                            </w:r>
                          </w:p>
                          <w:p w:rsidR="0044221C" w:rsidRPr="004B37A2" w:rsidRDefault="0044221C" w:rsidP="00C446F4">
                            <w:pPr>
                              <w:autoSpaceDE w:val="0"/>
                              <w:autoSpaceDN w:val="0"/>
                              <w:adjustRightInd w:val="0"/>
                              <w:rPr>
                                <w:rFonts w:ascii="Courier New" w:hAnsi="Courier New" w:cs="Courier New"/>
                                <w:sz w:val="16"/>
                                <w:szCs w:val="16"/>
                                <w:lang w:val="pt-BR"/>
                              </w:rPr>
                            </w:pPr>
                            <w:r w:rsidRPr="004B37A2">
                              <w:rPr>
                                <w:rFonts w:ascii="Courier New" w:hAnsi="Courier New" w:cs="Courier New"/>
                                <w:sz w:val="16"/>
                                <w:szCs w:val="16"/>
                                <w:lang w:val="pt-BR"/>
                              </w:rPr>
                              <w:t xml:space="preserve">FACTOR </w:t>
                            </w:r>
                            <w:proofErr w:type="gramStart"/>
                            <w:r w:rsidRPr="004B37A2">
                              <w:rPr>
                                <w:rFonts w:ascii="Courier New" w:hAnsi="Courier New" w:cs="Courier New"/>
                                <w:sz w:val="16"/>
                                <w:szCs w:val="16"/>
                                <w:lang w:val="pt-BR"/>
                              </w:rPr>
                              <w:t>1</w:t>
                            </w:r>
                            <w:proofErr w:type="gramEnd"/>
                            <w:r w:rsidRPr="004B37A2">
                              <w:rPr>
                                <w:rFonts w:ascii="Courier New" w:hAnsi="Courier New" w:cs="Courier New"/>
                                <w:sz w:val="16"/>
                                <w:szCs w:val="16"/>
                                <w:lang w:val="pt-BR"/>
                              </w:rPr>
                              <w:t xml:space="preserve">   0,2915   1,0000   0,0000   0,0000 </w:t>
                            </w:r>
                          </w:p>
                          <w:p w:rsidR="0044221C" w:rsidRPr="004B37A2" w:rsidRDefault="0044221C" w:rsidP="00C446F4">
                            <w:pPr>
                              <w:autoSpaceDE w:val="0"/>
                              <w:autoSpaceDN w:val="0"/>
                              <w:adjustRightInd w:val="0"/>
                              <w:rPr>
                                <w:rFonts w:ascii="Courier New" w:hAnsi="Courier New" w:cs="Courier New"/>
                                <w:sz w:val="16"/>
                                <w:szCs w:val="16"/>
                                <w:lang w:val="pt-BR"/>
                              </w:rPr>
                            </w:pPr>
                            <w:r w:rsidRPr="004B37A2">
                              <w:rPr>
                                <w:rFonts w:ascii="Courier New" w:hAnsi="Courier New" w:cs="Courier New"/>
                                <w:sz w:val="16"/>
                                <w:szCs w:val="16"/>
                                <w:lang w:val="pt-BR"/>
                              </w:rPr>
                              <w:t xml:space="preserve">FACTOR </w:t>
                            </w:r>
                            <w:proofErr w:type="gramStart"/>
                            <w:r w:rsidRPr="004B37A2">
                              <w:rPr>
                                <w:rFonts w:ascii="Courier New" w:hAnsi="Courier New" w:cs="Courier New"/>
                                <w:sz w:val="16"/>
                                <w:szCs w:val="16"/>
                                <w:lang w:val="pt-BR"/>
                              </w:rPr>
                              <w:t>2</w:t>
                            </w:r>
                            <w:proofErr w:type="gramEnd"/>
                            <w:r w:rsidRPr="004B37A2">
                              <w:rPr>
                                <w:rFonts w:ascii="Courier New" w:hAnsi="Courier New" w:cs="Courier New"/>
                                <w:sz w:val="16"/>
                                <w:szCs w:val="16"/>
                                <w:lang w:val="pt-BR"/>
                              </w:rPr>
                              <w:t xml:space="preserve">   0,8278   0,0000   1,0000   0,0000 </w:t>
                            </w:r>
                          </w:p>
                          <w:p w:rsidR="0044221C" w:rsidRPr="004B37A2" w:rsidRDefault="0044221C" w:rsidP="00C446F4">
                            <w:pPr>
                              <w:autoSpaceDE w:val="0"/>
                              <w:autoSpaceDN w:val="0"/>
                              <w:adjustRightInd w:val="0"/>
                              <w:rPr>
                                <w:rFonts w:ascii="Courier New" w:hAnsi="Courier New" w:cs="Courier New"/>
                                <w:sz w:val="16"/>
                                <w:szCs w:val="16"/>
                                <w:lang w:val="pt-BR"/>
                              </w:rPr>
                            </w:pPr>
                            <w:r w:rsidRPr="004B37A2">
                              <w:rPr>
                                <w:rFonts w:ascii="Courier New" w:hAnsi="Courier New" w:cs="Courier New"/>
                                <w:sz w:val="16"/>
                                <w:szCs w:val="16"/>
                                <w:lang w:val="pt-BR"/>
                              </w:rPr>
                              <w:t xml:space="preserve">FACTOR </w:t>
                            </w:r>
                            <w:proofErr w:type="gramStart"/>
                            <w:r w:rsidRPr="004B37A2">
                              <w:rPr>
                                <w:rFonts w:ascii="Courier New" w:hAnsi="Courier New" w:cs="Courier New"/>
                                <w:sz w:val="16"/>
                                <w:szCs w:val="16"/>
                                <w:lang w:val="pt-BR"/>
                              </w:rPr>
                              <w:t>3</w:t>
                            </w:r>
                            <w:proofErr w:type="gramEnd"/>
                            <w:r w:rsidRPr="004B37A2">
                              <w:rPr>
                                <w:rFonts w:ascii="Courier New" w:hAnsi="Courier New" w:cs="Courier New"/>
                                <w:sz w:val="16"/>
                                <w:szCs w:val="16"/>
                                <w:lang w:val="pt-BR"/>
                              </w:rPr>
                              <w:t xml:space="preserve">   0,3948   0,0000   0,0000   1,0000 </w:t>
                            </w:r>
                          </w:p>
                          <w:p w:rsidR="0044221C" w:rsidRPr="004B37A2" w:rsidRDefault="0044221C" w:rsidP="00C446F4">
                            <w:pPr>
                              <w:autoSpaceDE w:val="0"/>
                              <w:autoSpaceDN w:val="0"/>
                              <w:adjustRightInd w:val="0"/>
                              <w:rPr>
                                <w:rFonts w:ascii="Courier New" w:hAnsi="Courier New" w:cs="Courier New"/>
                                <w:sz w:val="16"/>
                                <w:szCs w:val="16"/>
                                <w:lang w:val="pt-BR"/>
                              </w:rPr>
                            </w:pPr>
                          </w:p>
                          <w:p w:rsidR="0044221C" w:rsidRPr="004B37A2" w:rsidRDefault="0044221C" w:rsidP="00C446F4">
                            <w:pPr>
                              <w:autoSpaceDE w:val="0"/>
                              <w:autoSpaceDN w:val="0"/>
                              <w:adjustRightInd w:val="0"/>
                              <w:rPr>
                                <w:rFonts w:ascii="Courier New" w:hAnsi="Courier New" w:cs="Courier New"/>
                                <w:b/>
                                <w:sz w:val="16"/>
                                <w:szCs w:val="16"/>
                                <w:lang w:val="pt-BR"/>
                              </w:rPr>
                            </w:pPr>
                            <w:r w:rsidRPr="004B37A2">
                              <w:rPr>
                                <w:rFonts w:ascii="Courier New" w:hAnsi="Courier New" w:cs="Courier New"/>
                                <w:b/>
                                <w:sz w:val="16"/>
                                <w:szCs w:val="16"/>
                                <w:lang w:val="pt-BR"/>
                              </w:rPr>
                              <w:t xml:space="preserve">Coeficiente de </w:t>
                            </w:r>
                            <w:proofErr w:type="spellStart"/>
                            <w:r w:rsidRPr="004B37A2">
                              <w:rPr>
                                <w:rFonts w:ascii="Courier New" w:hAnsi="Courier New" w:cs="Courier New"/>
                                <w:b/>
                                <w:sz w:val="16"/>
                                <w:szCs w:val="16"/>
                                <w:lang w:val="pt-BR"/>
                              </w:rPr>
                              <w:t>determinación</w:t>
                            </w:r>
                            <w:proofErr w:type="spellEnd"/>
                            <w:r w:rsidRPr="004B37A2">
                              <w:rPr>
                                <w:rFonts w:ascii="Courier New" w:hAnsi="Courier New" w:cs="Courier New"/>
                                <w:b/>
                                <w:sz w:val="16"/>
                                <w:szCs w:val="16"/>
                                <w:lang w:val="pt-BR"/>
                              </w:rPr>
                              <w:t>:        0,9262</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Coeficiente de correlación múltiple: 0,9624</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Coeficiente de regresión alfa: 0,1220</w:t>
                            </w:r>
                          </w:p>
                          <w:p w:rsidR="0044221C" w:rsidRPr="004B37A2" w:rsidRDefault="0044221C" w:rsidP="00C446F4">
                            <w:pPr>
                              <w:autoSpaceDE w:val="0"/>
                              <w:autoSpaceDN w:val="0"/>
                              <w:adjustRightInd w:val="0"/>
                              <w:rPr>
                                <w:rFonts w:ascii="Courier New" w:hAnsi="Courier New" w:cs="Courier New"/>
                                <w:sz w:val="16"/>
                                <w:szCs w:val="16"/>
                              </w:rPr>
                            </w:pP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COEFIC.        SUMA DE       PROPORC.</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DESVIACIÓN    COEFICIENTE    ERROR     T DE   CORREL.       CUADRADOS      VARIANZA</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VARIABLE      MEDIA        ESTÁNDAR      REGRESIÓN   ESTÁNDAR  STUDENT  PARCIAL        AÑADIDA       </w:t>
                            </w:r>
                            <w:proofErr w:type="spellStart"/>
                            <w:r w:rsidRPr="004B37A2">
                              <w:rPr>
                                <w:rFonts w:ascii="Courier New" w:hAnsi="Courier New" w:cs="Courier New"/>
                                <w:sz w:val="16"/>
                                <w:szCs w:val="16"/>
                              </w:rPr>
                              <w:t>AÑADIDA</w:t>
                            </w:r>
                            <w:proofErr w:type="spellEnd"/>
                            <w:r w:rsidRPr="004B37A2">
                              <w:rPr>
                                <w:rFonts w:ascii="Courier New" w:hAnsi="Courier New" w:cs="Courier New"/>
                                <w:sz w:val="16"/>
                                <w:szCs w:val="16"/>
                              </w:rPr>
                              <w:t xml:space="preserve"> </w:t>
                            </w:r>
                          </w:p>
                          <w:p w:rsidR="0044221C" w:rsidRPr="00C446F4" w:rsidRDefault="0044221C" w:rsidP="00C446F4">
                            <w:pPr>
                              <w:autoSpaceDE w:val="0"/>
                              <w:autoSpaceDN w:val="0"/>
                              <w:adjustRightInd w:val="0"/>
                              <w:rPr>
                                <w:rFonts w:ascii="Courier New" w:hAnsi="Courier New" w:cs="Courier New"/>
                                <w:sz w:val="16"/>
                                <w:szCs w:val="16"/>
                                <w:lang w:val="en-US"/>
                              </w:rPr>
                            </w:pPr>
                            <w:r w:rsidRPr="00C446F4">
                              <w:rPr>
                                <w:rFonts w:ascii="Courier New" w:hAnsi="Courier New" w:cs="Courier New"/>
                                <w:sz w:val="16"/>
                                <w:szCs w:val="16"/>
                                <w:lang w:val="en-US"/>
                              </w:rPr>
                              <w:t>-------- -------------- --------------  ----------- ---------- -------- ------- -------------------- --------</w:t>
                            </w:r>
                          </w:p>
                          <w:p w:rsidR="0044221C" w:rsidRPr="00C446F4" w:rsidRDefault="0044221C" w:rsidP="00C446F4">
                            <w:pPr>
                              <w:autoSpaceDE w:val="0"/>
                              <w:autoSpaceDN w:val="0"/>
                              <w:adjustRightInd w:val="0"/>
                              <w:rPr>
                                <w:rFonts w:ascii="Courier New" w:hAnsi="Courier New" w:cs="Courier New"/>
                                <w:sz w:val="16"/>
                                <w:szCs w:val="16"/>
                                <w:lang w:val="en-US"/>
                              </w:rPr>
                            </w:pPr>
                            <w:r w:rsidRPr="00C446F4">
                              <w:rPr>
                                <w:rFonts w:ascii="Courier New" w:hAnsi="Courier New" w:cs="Courier New"/>
                                <w:sz w:val="16"/>
                                <w:szCs w:val="16"/>
                                <w:lang w:val="en-US"/>
                              </w:rPr>
                              <w:t>S                0</w:t>
                            </w:r>
                            <w:proofErr w:type="gramStart"/>
                            <w:r w:rsidRPr="00C446F4">
                              <w:rPr>
                                <w:rFonts w:ascii="Courier New" w:hAnsi="Courier New" w:cs="Courier New"/>
                                <w:sz w:val="16"/>
                                <w:szCs w:val="16"/>
                                <w:lang w:val="en-US"/>
                              </w:rPr>
                              <w:t>,1220</w:t>
                            </w:r>
                            <w:proofErr w:type="gramEnd"/>
                            <w:r w:rsidRPr="00C446F4">
                              <w:rPr>
                                <w:rFonts w:ascii="Courier New" w:hAnsi="Courier New" w:cs="Courier New"/>
                                <w:sz w:val="16"/>
                                <w:szCs w:val="16"/>
                                <w:lang w:val="en-US"/>
                              </w:rPr>
                              <w:t xml:space="preserve">         0,0236                                                              </w:t>
                            </w:r>
                          </w:p>
                          <w:p w:rsidR="0044221C" w:rsidRPr="00C446F4" w:rsidRDefault="0044221C" w:rsidP="00C446F4">
                            <w:pPr>
                              <w:autoSpaceDE w:val="0"/>
                              <w:autoSpaceDN w:val="0"/>
                              <w:adjustRightInd w:val="0"/>
                              <w:rPr>
                                <w:rFonts w:ascii="Courier New" w:hAnsi="Courier New" w:cs="Courier New"/>
                                <w:sz w:val="16"/>
                                <w:szCs w:val="16"/>
                                <w:lang w:val="en-US"/>
                              </w:rPr>
                            </w:pPr>
                            <w:r w:rsidRPr="00C446F4">
                              <w:rPr>
                                <w:rFonts w:ascii="Courier New" w:hAnsi="Courier New" w:cs="Courier New"/>
                                <w:sz w:val="16"/>
                                <w:szCs w:val="16"/>
                                <w:lang w:val="en-US"/>
                              </w:rPr>
                              <w:t xml:space="preserve">FACTOR 1         0,0000         1,0000       </w:t>
                            </w:r>
                            <w:r w:rsidRPr="00C446F4">
                              <w:rPr>
                                <w:rFonts w:ascii="Courier New" w:hAnsi="Courier New" w:cs="Courier New"/>
                                <w:b/>
                                <w:sz w:val="16"/>
                                <w:szCs w:val="16"/>
                                <w:lang w:val="en-US"/>
                              </w:rPr>
                              <w:t>0,0069</w:t>
                            </w:r>
                            <w:r w:rsidRPr="00C446F4">
                              <w:rPr>
                                <w:rFonts w:ascii="Courier New" w:hAnsi="Courier New" w:cs="Courier New"/>
                                <w:sz w:val="16"/>
                                <w:szCs w:val="16"/>
                                <w:lang w:val="en-US"/>
                              </w:rPr>
                              <w:t xml:space="preserve">     0,0026   2,6276  0,7315               0,0005  0,0849            </w:t>
                            </w:r>
                          </w:p>
                          <w:p w:rsidR="0044221C" w:rsidRPr="00C446F4" w:rsidRDefault="0044221C" w:rsidP="00C446F4">
                            <w:pPr>
                              <w:autoSpaceDE w:val="0"/>
                              <w:autoSpaceDN w:val="0"/>
                              <w:adjustRightInd w:val="0"/>
                              <w:rPr>
                                <w:rFonts w:ascii="Courier New" w:hAnsi="Courier New" w:cs="Courier New"/>
                                <w:b/>
                                <w:sz w:val="16"/>
                                <w:szCs w:val="16"/>
                                <w:lang w:val="en-US"/>
                              </w:rPr>
                            </w:pPr>
                            <w:r w:rsidRPr="00C446F4">
                              <w:rPr>
                                <w:rFonts w:ascii="Courier New" w:hAnsi="Courier New" w:cs="Courier New"/>
                                <w:b/>
                                <w:sz w:val="16"/>
                                <w:szCs w:val="16"/>
                                <w:lang w:val="en-US"/>
                              </w:rPr>
                              <w:t xml:space="preserve">                                                               (p=0</w:t>
                            </w:r>
                            <w:proofErr w:type="gramStart"/>
                            <w:r w:rsidRPr="00C446F4">
                              <w:rPr>
                                <w:rFonts w:ascii="Courier New" w:hAnsi="Courier New" w:cs="Courier New"/>
                                <w:b/>
                                <w:sz w:val="16"/>
                                <w:szCs w:val="16"/>
                                <w:lang w:val="en-US"/>
                              </w:rPr>
                              <w:t>,0392</w:t>
                            </w:r>
                            <w:proofErr w:type="gramEnd"/>
                            <w:r w:rsidRPr="00C446F4">
                              <w:rPr>
                                <w:rFonts w:ascii="Courier New" w:hAnsi="Courier New" w:cs="Courier New"/>
                                <w:b/>
                                <w:sz w:val="16"/>
                                <w:szCs w:val="16"/>
                                <w:lang w:val="en-US"/>
                              </w:rPr>
                              <w:t xml:space="preserve">)                                                 </w:t>
                            </w:r>
                          </w:p>
                          <w:p w:rsidR="0044221C" w:rsidRPr="00C446F4" w:rsidRDefault="0044221C" w:rsidP="00C446F4">
                            <w:pPr>
                              <w:autoSpaceDE w:val="0"/>
                              <w:autoSpaceDN w:val="0"/>
                              <w:adjustRightInd w:val="0"/>
                              <w:rPr>
                                <w:rFonts w:ascii="Courier New" w:hAnsi="Courier New" w:cs="Courier New"/>
                                <w:sz w:val="16"/>
                                <w:szCs w:val="16"/>
                                <w:lang w:val="en-US"/>
                              </w:rPr>
                            </w:pPr>
                            <w:r w:rsidRPr="00C446F4">
                              <w:rPr>
                                <w:rFonts w:ascii="Courier New" w:hAnsi="Courier New" w:cs="Courier New"/>
                                <w:sz w:val="16"/>
                                <w:szCs w:val="16"/>
                                <w:lang w:val="en-US"/>
                              </w:rPr>
                              <w:t xml:space="preserve">FACTOR 2         0,0000         1,0000       </w:t>
                            </w:r>
                            <w:r w:rsidRPr="00C446F4">
                              <w:rPr>
                                <w:rFonts w:ascii="Courier New" w:hAnsi="Courier New" w:cs="Courier New"/>
                                <w:b/>
                                <w:sz w:val="16"/>
                                <w:szCs w:val="16"/>
                                <w:lang w:val="en-US"/>
                              </w:rPr>
                              <w:t>0,0195</w:t>
                            </w:r>
                            <w:r w:rsidRPr="00C446F4">
                              <w:rPr>
                                <w:rFonts w:ascii="Courier New" w:hAnsi="Courier New" w:cs="Courier New"/>
                                <w:sz w:val="16"/>
                                <w:szCs w:val="16"/>
                                <w:lang w:val="en-US"/>
                              </w:rPr>
                              <w:t xml:space="preserve">     0,0026   7,4634  0,9501               0,0038  0,6853            </w:t>
                            </w:r>
                          </w:p>
                          <w:p w:rsidR="0044221C" w:rsidRPr="00C446F4" w:rsidRDefault="0044221C" w:rsidP="00C446F4">
                            <w:pPr>
                              <w:autoSpaceDE w:val="0"/>
                              <w:autoSpaceDN w:val="0"/>
                              <w:adjustRightInd w:val="0"/>
                              <w:rPr>
                                <w:rFonts w:ascii="Courier New" w:hAnsi="Courier New" w:cs="Courier New"/>
                                <w:b/>
                                <w:sz w:val="16"/>
                                <w:szCs w:val="16"/>
                                <w:lang w:val="en-US"/>
                              </w:rPr>
                            </w:pPr>
                            <w:r w:rsidRPr="00C446F4">
                              <w:rPr>
                                <w:rFonts w:ascii="Courier New" w:hAnsi="Courier New" w:cs="Courier New"/>
                                <w:b/>
                                <w:sz w:val="16"/>
                                <w:szCs w:val="16"/>
                                <w:lang w:val="en-US"/>
                              </w:rPr>
                              <w:t xml:space="preserve">                                                               (p=0</w:t>
                            </w:r>
                            <w:proofErr w:type="gramStart"/>
                            <w:r w:rsidRPr="00C446F4">
                              <w:rPr>
                                <w:rFonts w:ascii="Courier New" w:hAnsi="Courier New" w:cs="Courier New"/>
                                <w:b/>
                                <w:sz w:val="16"/>
                                <w:szCs w:val="16"/>
                                <w:lang w:val="en-US"/>
                              </w:rPr>
                              <w:t>,0003</w:t>
                            </w:r>
                            <w:proofErr w:type="gramEnd"/>
                            <w:r w:rsidRPr="00C446F4">
                              <w:rPr>
                                <w:rFonts w:ascii="Courier New" w:hAnsi="Courier New" w:cs="Courier New"/>
                                <w:b/>
                                <w:sz w:val="16"/>
                                <w:szCs w:val="16"/>
                                <w:lang w:val="en-US"/>
                              </w:rPr>
                              <w:t xml:space="preserve">)                                                 </w:t>
                            </w:r>
                          </w:p>
                          <w:p w:rsidR="0044221C" w:rsidRPr="000D4E39" w:rsidRDefault="0044221C" w:rsidP="00C446F4">
                            <w:pPr>
                              <w:autoSpaceDE w:val="0"/>
                              <w:autoSpaceDN w:val="0"/>
                              <w:adjustRightInd w:val="0"/>
                              <w:rPr>
                                <w:rFonts w:ascii="Courier New" w:hAnsi="Courier New" w:cs="Courier New"/>
                                <w:sz w:val="16"/>
                                <w:szCs w:val="16"/>
                                <w:lang w:val="en-US"/>
                              </w:rPr>
                            </w:pPr>
                            <w:r w:rsidRPr="000D4E39">
                              <w:rPr>
                                <w:rFonts w:ascii="Courier New" w:hAnsi="Courier New" w:cs="Courier New"/>
                                <w:sz w:val="16"/>
                                <w:szCs w:val="16"/>
                                <w:lang w:val="en-US"/>
                              </w:rPr>
                              <w:t xml:space="preserve">FACTOR 3         0,0000         1,0000       </w:t>
                            </w:r>
                            <w:r w:rsidRPr="000D4E39">
                              <w:rPr>
                                <w:rFonts w:ascii="Courier New" w:hAnsi="Courier New" w:cs="Courier New"/>
                                <w:b/>
                                <w:sz w:val="16"/>
                                <w:szCs w:val="16"/>
                                <w:lang w:val="en-US"/>
                              </w:rPr>
                              <w:t>0,0093</w:t>
                            </w:r>
                            <w:r w:rsidRPr="000D4E39">
                              <w:rPr>
                                <w:rFonts w:ascii="Courier New" w:hAnsi="Courier New" w:cs="Courier New"/>
                                <w:sz w:val="16"/>
                                <w:szCs w:val="16"/>
                                <w:lang w:val="en-US"/>
                              </w:rPr>
                              <w:t xml:space="preserve">     0,0026   3,5597  0,8238               0,0009  0,1559            </w:t>
                            </w:r>
                          </w:p>
                          <w:p w:rsidR="0044221C" w:rsidRPr="004B37A2" w:rsidRDefault="0044221C" w:rsidP="00C446F4">
                            <w:pPr>
                              <w:autoSpaceDE w:val="0"/>
                              <w:autoSpaceDN w:val="0"/>
                              <w:adjustRightInd w:val="0"/>
                              <w:rPr>
                                <w:rFonts w:ascii="Courier New" w:hAnsi="Courier New" w:cs="Courier New"/>
                                <w:b/>
                                <w:sz w:val="16"/>
                                <w:szCs w:val="16"/>
                              </w:rPr>
                            </w:pPr>
                            <w:r w:rsidRPr="000D4E39">
                              <w:rPr>
                                <w:rFonts w:ascii="Courier New" w:hAnsi="Courier New" w:cs="Courier New"/>
                                <w:b/>
                                <w:sz w:val="16"/>
                                <w:szCs w:val="16"/>
                                <w:lang w:val="en-US"/>
                              </w:rPr>
                              <w:t xml:space="preserve">                                                               </w:t>
                            </w:r>
                            <w:r w:rsidRPr="004B37A2">
                              <w:rPr>
                                <w:rFonts w:ascii="Courier New" w:hAnsi="Courier New" w:cs="Courier New"/>
                                <w:b/>
                                <w:sz w:val="16"/>
                                <w:szCs w:val="16"/>
                              </w:rPr>
                              <w:t xml:space="preserve">(p=0,0119)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 --------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w:t>
                            </w:r>
                            <w:r>
                              <w:rPr>
                                <w:rFonts w:ascii="Courier New" w:hAnsi="Courier New" w:cs="Courier New"/>
                                <w:sz w:val="16"/>
                                <w:szCs w:val="16"/>
                              </w:rPr>
                              <w:t xml:space="preserve">     0,0051  0,9262       </w:t>
                            </w:r>
                            <w:r w:rsidRPr="004B37A2">
                              <w:rPr>
                                <w:rFonts w:ascii="Courier New" w:hAnsi="Courier New" w:cs="Courier New"/>
                                <w:b/>
                                <w:sz w:val="16"/>
                                <w:szCs w:val="16"/>
                              </w:rPr>
                              <w:t>ANÁLISIS DE LA VARIANZA</w:t>
                            </w:r>
                          </w:p>
                          <w:p w:rsidR="0044221C" w:rsidRPr="004B37A2" w:rsidRDefault="0044221C" w:rsidP="00C446F4">
                            <w:pPr>
                              <w:autoSpaceDE w:val="0"/>
                              <w:autoSpaceDN w:val="0"/>
                              <w:adjustRightInd w:val="0"/>
                              <w:rPr>
                                <w:rFonts w:ascii="Courier New" w:hAnsi="Courier New" w:cs="Courier New"/>
                                <w:sz w:val="16"/>
                                <w:szCs w:val="16"/>
                              </w:rPr>
                            </w:pP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FUENTE DE VARIACIÓN    GRADOS LIBERTAD      SUMA CUADRADOS          MEDIA CUADRADOS</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   ---------------------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Debida a la regresión:          3                        0,0051                 0,0017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Residuo:                        6                        0,0004                 0,0001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         ---------------------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Varianza total:                 9                        0,0056                                                         </w:t>
                            </w:r>
                          </w:p>
                          <w:p w:rsidR="0044221C" w:rsidRDefault="0044221C" w:rsidP="00C446F4">
                            <w:pPr>
                              <w:rPr>
                                <w:rFonts w:ascii="Courier New" w:hAnsi="Courier New" w:cs="Courier New"/>
                                <w:sz w:val="16"/>
                                <w:szCs w:val="16"/>
                              </w:rPr>
                            </w:pPr>
                            <w:r w:rsidRPr="004B37A2">
                              <w:rPr>
                                <w:rFonts w:ascii="Courier New" w:hAnsi="Courier New" w:cs="Courier New"/>
                                <w:sz w:val="16"/>
                                <w:szCs w:val="16"/>
                              </w:rPr>
                              <w:t xml:space="preserve">   </w:t>
                            </w:r>
                          </w:p>
                          <w:p w:rsidR="0044221C" w:rsidRPr="004B37A2" w:rsidRDefault="0044221C" w:rsidP="00C446F4">
                            <w:pPr>
                              <w:rPr>
                                <w:sz w:val="16"/>
                                <w:szCs w:val="16"/>
                              </w:rPr>
                            </w:pPr>
                            <w:r w:rsidRPr="004B37A2">
                              <w:rPr>
                                <w:rFonts w:ascii="Courier New" w:hAnsi="Courier New" w:cs="Courier New"/>
                                <w:sz w:val="16"/>
                                <w:szCs w:val="16"/>
                              </w:rPr>
                              <w:t xml:space="preserve">  F de </w:t>
                            </w:r>
                            <w:proofErr w:type="spellStart"/>
                            <w:r w:rsidRPr="004B37A2">
                              <w:rPr>
                                <w:rFonts w:ascii="Courier New" w:hAnsi="Courier New" w:cs="Courier New"/>
                                <w:sz w:val="16"/>
                                <w:szCs w:val="16"/>
                              </w:rPr>
                              <w:t>Snedecor</w:t>
                            </w:r>
                            <w:proofErr w:type="spellEnd"/>
                            <w:r w:rsidRPr="004B37A2">
                              <w:rPr>
                                <w:rFonts w:ascii="Courier New" w:hAnsi="Courier New" w:cs="Courier New"/>
                                <w:sz w:val="16"/>
                                <w:szCs w:val="16"/>
                              </w:rPr>
                              <w:t xml:space="preserve"> con 3 y 6 grados de libertad = 25,0930  </w:t>
                            </w:r>
                            <w:r w:rsidRPr="004B37A2">
                              <w:rPr>
                                <w:rFonts w:ascii="Courier New" w:hAnsi="Courier New" w:cs="Courier New"/>
                                <w:b/>
                                <w:sz w:val="16"/>
                                <w:szCs w:val="16"/>
                              </w:rPr>
                              <w:t xml:space="preserve"> (p= 0,0009)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9" style="position:absolute;left:0;text-align:left;margin-left:-63pt;margin-top:8.5pt;width:549pt;height:4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XaNAIAAFMEAAAOAAAAZHJzL2Uyb0RvYy54bWysVF1u2zAMfh+wOwh6X+w4SX+MOkWRLsOA&#10;bivW7QCKLNvCZFGjlDjZbXqWXWyUkqbptqdhfhBEkfr46SPpq+ttb9hGoddgKz4e5ZwpK6HWtq34&#10;1y/LNxec+SBsLQxYVfGd8vx6/vrV1eBKVUAHplbICMT6cnAV70JwZZZ52ale+BE4ZcnZAPYikIlt&#10;VqMYCL03WZHnZ9kAWDsEqbyn09u9k88TftMoGT41jVeBmYoTt5BWTOsqrtn8SpQtCtdpeaAh/oFF&#10;L7SlpEeoWxEEW6P+A6rXEsFDE0YS+gyaRkuV3kCvGee/veahE06lt5A43h1l8v8PVn7c3CPTdcWL&#10;gjMreqrRZ1Lt56Nt1wYYnZJEg/MlRT64e4yP9O4O5DfPLCw6YVt1gwhDp0RNxMYxPntxIRqerrLV&#10;8AFqSiDWAZJa2wb7CEg6sG0qyu5YFLUNTNLh2eV5McmpdpJ8s0lxno9nKYcon6479OGdgp7FTcWR&#10;+Cd4sbnzIdIR5VNIog9G10ttTDKwXS0Mso2gDlmm74DuT8OMZUPFL2fFLCG/8PlTiDx9f4PodaBW&#10;N7qv+MUxSJRRt7e2To0YhDb7PVE29iBk1G5fg7BdbVOxJjFB1HUF9Y6URdh3Nk0ibTrAH5wN1NUV&#10;99/XAhVn5r2l6lyOp9M4BsmYzs4LMvDUszr1CCsJquKBs/12Efajs3ao244yjZMaFm6ooo1OWj+z&#10;OtCnzk0lOExZHI1TO0U9/wvmvwAAAP//AwBQSwMEFAAGAAgAAAAhAFuybnDhAAAACwEAAA8AAABk&#10;cnMvZG93bnJldi54bWxMj81OwzAQhO9IvIO1SNxap0H9SRqnQqAicWzTC7dN7CaBeB3FTht4epZT&#10;Oe2uZjT7TbabbCcuZvCtIwWLeQTCUOV0S7WCU7GfbUD4gKSxc2QUfBsPu/z+LsNUuysdzOUYasEh&#10;5FNU0ITQp1L6qjEW/dz1hlg7u8Fi4HOopR7wyuG2k3EUraTFlvhDg715aUz1dRytgrKNT/hzKN4i&#10;m+yfwvtUfI4fr0o9PkzPWxDBTOFmhj98RoecmUo3kvaiUzBbxCsuE1hZ82RHso55KRVslssEZJ7J&#10;/x3yXwAAAP//AwBQSwECLQAUAAYACAAAACEAtoM4kv4AAADhAQAAEwAAAAAAAAAAAAAAAAAAAAAA&#10;W0NvbnRlbnRfVHlwZXNdLnhtbFBLAQItABQABgAIAAAAIQA4/SH/1gAAAJQBAAALAAAAAAAAAAAA&#10;AAAAAC8BAABfcmVscy8ucmVsc1BLAQItABQABgAIAAAAIQAgThXaNAIAAFMEAAAOAAAAAAAAAAAA&#10;AAAAAC4CAABkcnMvZTJvRG9jLnhtbFBLAQItABQABgAIAAAAIQBbsm5w4QAAAAsBAAAPAAAAAAAA&#10;AAAAAAAAAI4EAABkcnMvZG93bnJldi54bWxQSwUGAAAAAAQABADzAAAAnAUAAAAA&#10;">
                <v:textbox>
                  <w:txbxContent>
                    <w:p w:rsidR="0044221C" w:rsidRPr="004B37A2" w:rsidRDefault="0044221C" w:rsidP="00C446F4">
                      <w:pPr>
                        <w:autoSpaceDE w:val="0"/>
                        <w:autoSpaceDN w:val="0"/>
                        <w:adjustRightInd w:val="0"/>
                        <w:rPr>
                          <w:rFonts w:ascii="Courier New" w:hAnsi="Courier New" w:cs="Courier New"/>
                          <w:b/>
                          <w:sz w:val="16"/>
                          <w:szCs w:val="16"/>
                        </w:rPr>
                      </w:pPr>
                      <w:r w:rsidRPr="004B37A2">
                        <w:rPr>
                          <w:rFonts w:ascii="Courier New" w:hAnsi="Courier New" w:cs="Courier New"/>
                          <w:b/>
                          <w:sz w:val="16"/>
                          <w:szCs w:val="16"/>
                        </w:rPr>
                        <w:t>IDENTIFICACIÓN DE LAS VARIABLES</w:t>
                      </w:r>
                    </w:p>
                    <w:p w:rsidR="0044221C" w:rsidRPr="004B37A2" w:rsidRDefault="0044221C" w:rsidP="00C446F4">
                      <w:pPr>
                        <w:autoSpaceDE w:val="0"/>
                        <w:autoSpaceDN w:val="0"/>
                        <w:adjustRightInd w:val="0"/>
                        <w:rPr>
                          <w:rFonts w:ascii="Courier New" w:hAnsi="Courier New" w:cs="Courier New"/>
                          <w:sz w:val="16"/>
                          <w:szCs w:val="16"/>
                        </w:rPr>
                      </w:pP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VARIABLE DEPENDIENTE: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  S        - Tasa de Ahorro de los Hogares</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VARIABLES INDEPENDIENTES:</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1. FACTOR 1 - Renta y Riqueza</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2. FACTOR 2 - Inflación y </w:t>
                      </w:r>
                      <w:r>
                        <w:rPr>
                          <w:rFonts w:ascii="Courier New" w:hAnsi="Courier New" w:cs="Courier New"/>
                          <w:sz w:val="16"/>
                          <w:szCs w:val="16"/>
                        </w:rPr>
                        <w:t>Paro</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3. FACTOR 3 - Confianza</w:t>
                      </w:r>
                    </w:p>
                    <w:p w:rsidR="0044221C" w:rsidRPr="004B37A2" w:rsidRDefault="0044221C" w:rsidP="00C446F4">
                      <w:pPr>
                        <w:autoSpaceDE w:val="0"/>
                        <w:autoSpaceDN w:val="0"/>
                        <w:adjustRightInd w:val="0"/>
                        <w:rPr>
                          <w:rFonts w:ascii="Courier New" w:hAnsi="Courier New" w:cs="Courier New"/>
                          <w:sz w:val="16"/>
                          <w:szCs w:val="16"/>
                        </w:rPr>
                      </w:pPr>
                    </w:p>
                    <w:p w:rsidR="0044221C" w:rsidRPr="00141581" w:rsidRDefault="0044221C" w:rsidP="00C446F4">
                      <w:pPr>
                        <w:autoSpaceDE w:val="0"/>
                        <w:autoSpaceDN w:val="0"/>
                        <w:adjustRightInd w:val="0"/>
                        <w:rPr>
                          <w:rFonts w:ascii="Courier New" w:hAnsi="Courier New" w:cs="Courier New"/>
                          <w:b/>
                          <w:sz w:val="16"/>
                          <w:szCs w:val="16"/>
                        </w:rPr>
                      </w:pPr>
                      <w:r w:rsidRPr="00141581">
                        <w:rPr>
                          <w:rFonts w:ascii="Courier New" w:hAnsi="Courier New" w:cs="Courier New"/>
                          <w:b/>
                          <w:sz w:val="16"/>
                          <w:szCs w:val="16"/>
                        </w:rPr>
                        <w:t>Matriz de coeficientes de correlación simple:</w:t>
                      </w:r>
                    </w:p>
                    <w:p w:rsidR="0044221C" w:rsidRPr="00141581" w:rsidRDefault="0044221C" w:rsidP="00C446F4">
                      <w:pPr>
                        <w:autoSpaceDE w:val="0"/>
                        <w:autoSpaceDN w:val="0"/>
                        <w:adjustRightInd w:val="0"/>
                        <w:rPr>
                          <w:rFonts w:ascii="Courier New" w:hAnsi="Courier New" w:cs="Courier New"/>
                          <w:sz w:val="16"/>
                          <w:szCs w:val="16"/>
                        </w:rPr>
                      </w:pPr>
                    </w:p>
                    <w:p w:rsidR="0044221C" w:rsidRPr="004B37A2" w:rsidRDefault="0044221C" w:rsidP="00C446F4">
                      <w:pPr>
                        <w:autoSpaceDE w:val="0"/>
                        <w:autoSpaceDN w:val="0"/>
                        <w:adjustRightInd w:val="0"/>
                        <w:rPr>
                          <w:rFonts w:ascii="Courier New" w:hAnsi="Courier New" w:cs="Courier New"/>
                          <w:sz w:val="16"/>
                          <w:szCs w:val="16"/>
                          <w:lang w:val="pt-BR"/>
                        </w:rPr>
                      </w:pPr>
                      <w:r w:rsidRPr="00141581">
                        <w:rPr>
                          <w:rFonts w:ascii="Courier New" w:hAnsi="Courier New" w:cs="Courier New"/>
                          <w:sz w:val="16"/>
                          <w:szCs w:val="16"/>
                        </w:rPr>
                        <w:t xml:space="preserve">          </w:t>
                      </w:r>
                      <w:r w:rsidRPr="004B37A2">
                        <w:rPr>
                          <w:rFonts w:ascii="Courier New" w:hAnsi="Courier New" w:cs="Courier New"/>
                          <w:sz w:val="16"/>
                          <w:szCs w:val="16"/>
                          <w:lang w:val="pt-BR"/>
                        </w:rPr>
                        <w:t xml:space="preserve">S        FACTOR </w:t>
                      </w:r>
                      <w:proofErr w:type="gramStart"/>
                      <w:r w:rsidRPr="004B37A2">
                        <w:rPr>
                          <w:rFonts w:ascii="Courier New" w:hAnsi="Courier New" w:cs="Courier New"/>
                          <w:sz w:val="16"/>
                          <w:szCs w:val="16"/>
                          <w:lang w:val="pt-BR"/>
                        </w:rPr>
                        <w:t>1</w:t>
                      </w:r>
                      <w:proofErr w:type="gramEnd"/>
                      <w:r w:rsidRPr="004B37A2">
                        <w:rPr>
                          <w:rFonts w:ascii="Courier New" w:hAnsi="Courier New" w:cs="Courier New"/>
                          <w:sz w:val="16"/>
                          <w:szCs w:val="16"/>
                          <w:lang w:val="pt-BR"/>
                        </w:rPr>
                        <w:t xml:space="preserve"> FACTOR 2 FACTOR 3 </w:t>
                      </w:r>
                    </w:p>
                    <w:p w:rsidR="0044221C" w:rsidRPr="004B37A2" w:rsidRDefault="0044221C" w:rsidP="00C446F4">
                      <w:pPr>
                        <w:autoSpaceDE w:val="0"/>
                        <w:autoSpaceDN w:val="0"/>
                        <w:adjustRightInd w:val="0"/>
                        <w:rPr>
                          <w:rFonts w:ascii="Courier New" w:hAnsi="Courier New" w:cs="Courier New"/>
                          <w:sz w:val="16"/>
                          <w:szCs w:val="16"/>
                          <w:lang w:val="pt-BR"/>
                        </w:rPr>
                      </w:pPr>
                      <w:r w:rsidRPr="004B37A2">
                        <w:rPr>
                          <w:rFonts w:ascii="Courier New" w:hAnsi="Courier New" w:cs="Courier New"/>
                          <w:sz w:val="16"/>
                          <w:szCs w:val="16"/>
                          <w:lang w:val="pt-BR"/>
                        </w:rPr>
                        <w:t xml:space="preserve">          -------- -------- -------- -------- </w:t>
                      </w:r>
                    </w:p>
                    <w:p w:rsidR="0044221C" w:rsidRPr="004B37A2" w:rsidRDefault="0044221C" w:rsidP="00C446F4">
                      <w:pPr>
                        <w:autoSpaceDE w:val="0"/>
                        <w:autoSpaceDN w:val="0"/>
                        <w:adjustRightInd w:val="0"/>
                        <w:rPr>
                          <w:rFonts w:ascii="Courier New" w:hAnsi="Courier New" w:cs="Courier New"/>
                          <w:sz w:val="16"/>
                          <w:szCs w:val="16"/>
                          <w:lang w:val="pt-BR"/>
                        </w:rPr>
                      </w:pPr>
                      <w:r w:rsidRPr="004B37A2">
                        <w:rPr>
                          <w:rFonts w:ascii="Courier New" w:hAnsi="Courier New" w:cs="Courier New"/>
                          <w:sz w:val="16"/>
                          <w:szCs w:val="16"/>
                          <w:lang w:val="pt-BR"/>
                        </w:rPr>
                        <w:t>S          1,0000</w:t>
                      </w:r>
                      <w:proofErr w:type="gramStart"/>
                      <w:r w:rsidRPr="004B37A2">
                        <w:rPr>
                          <w:rFonts w:ascii="Courier New" w:hAnsi="Courier New" w:cs="Courier New"/>
                          <w:sz w:val="16"/>
                          <w:szCs w:val="16"/>
                          <w:lang w:val="pt-BR"/>
                        </w:rPr>
                        <w:t xml:space="preserve">   </w:t>
                      </w:r>
                      <w:proofErr w:type="gramEnd"/>
                      <w:r w:rsidRPr="004B37A2">
                        <w:rPr>
                          <w:rFonts w:ascii="Courier New" w:hAnsi="Courier New" w:cs="Courier New"/>
                          <w:sz w:val="16"/>
                          <w:szCs w:val="16"/>
                          <w:lang w:val="pt-BR"/>
                        </w:rPr>
                        <w:t xml:space="preserve">0,2915   0,8278   0,3948 </w:t>
                      </w:r>
                    </w:p>
                    <w:p w:rsidR="0044221C" w:rsidRPr="004B37A2" w:rsidRDefault="0044221C" w:rsidP="00C446F4">
                      <w:pPr>
                        <w:autoSpaceDE w:val="0"/>
                        <w:autoSpaceDN w:val="0"/>
                        <w:adjustRightInd w:val="0"/>
                        <w:rPr>
                          <w:rFonts w:ascii="Courier New" w:hAnsi="Courier New" w:cs="Courier New"/>
                          <w:sz w:val="16"/>
                          <w:szCs w:val="16"/>
                          <w:lang w:val="pt-BR"/>
                        </w:rPr>
                      </w:pPr>
                      <w:r w:rsidRPr="004B37A2">
                        <w:rPr>
                          <w:rFonts w:ascii="Courier New" w:hAnsi="Courier New" w:cs="Courier New"/>
                          <w:sz w:val="16"/>
                          <w:szCs w:val="16"/>
                          <w:lang w:val="pt-BR"/>
                        </w:rPr>
                        <w:t xml:space="preserve">FACTOR </w:t>
                      </w:r>
                      <w:proofErr w:type="gramStart"/>
                      <w:r w:rsidRPr="004B37A2">
                        <w:rPr>
                          <w:rFonts w:ascii="Courier New" w:hAnsi="Courier New" w:cs="Courier New"/>
                          <w:sz w:val="16"/>
                          <w:szCs w:val="16"/>
                          <w:lang w:val="pt-BR"/>
                        </w:rPr>
                        <w:t>1</w:t>
                      </w:r>
                      <w:proofErr w:type="gramEnd"/>
                      <w:r w:rsidRPr="004B37A2">
                        <w:rPr>
                          <w:rFonts w:ascii="Courier New" w:hAnsi="Courier New" w:cs="Courier New"/>
                          <w:sz w:val="16"/>
                          <w:szCs w:val="16"/>
                          <w:lang w:val="pt-BR"/>
                        </w:rPr>
                        <w:t xml:space="preserve">   0,2915   1,0000   0,0000   0,0000 </w:t>
                      </w:r>
                    </w:p>
                    <w:p w:rsidR="0044221C" w:rsidRPr="004B37A2" w:rsidRDefault="0044221C" w:rsidP="00C446F4">
                      <w:pPr>
                        <w:autoSpaceDE w:val="0"/>
                        <w:autoSpaceDN w:val="0"/>
                        <w:adjustRightInd w:val="0"/>
                        <w:rPr>
                          <w:rFonts w:ascii="Courier New" w:hAnsi="Courier New" w:cs="Courier New"/>
                          <w:sz w:val="16"/>
                          <w:szCs w:val="16"/>
                          <w:lang w:val="pt-BR"/>
                        </w:rPr>
                      </w:pPr>
                      <w:r w:rsidRPr="004B37A2">
                        <w:rPr>
                          <w:rFonts w:ascii="Courier New" w:hAnsi="Courier New" w:cs="Courier New"/>
                          <w:sz w:val="16"/>
                          <w:szCs w:val="16"/>
                          <w:lang w:val="pt-BR"/>
                        </w:rPr>
                        <w:t xml:space="preserve">FACTOR </w:t>
                      </w:r>
                      <w:proofErr w:type="gramStart"/>
                      <w:r w:rsidRPr="004B37A2">
                        <w:rPr>
                          <w:rFonts w:ascii="Courier New" w:hAnsi="Courier New" w:cs="Courier New"/>
                          <w:sz w:val="16"/>
                          <w:szCs w:val="16"/>
                          <w:lang w:val="pt-BR"/>
                        </w:rPr>
                        <w:t>2</w:t>
                      </w:r>
                      <w:proofErr w:type="gramEnd"/>
                      <w:r w:rsidRPr="004B37A2">
                        <w:rPr>
                          <w:rFonts w:ascii="Courier New" w:hAnsi="Courier New" w:cs="Courier New"/>
                          <w:sz w:val="16"/>
                          <w:szCs w:val="16"/>
                          <w:lang w:val="pt-BR"/>
                        </w:rPr>
                        <w:t xml:space="preserve">   0,8278   0,0000   1,0000   0,0000 </w:t>
                      </w:r>
                    </w:p>
                    <w:p w:rsidR="0044221C" w:rsidRPr="004B37A2" w:rsidRDefault="0044221C" w:rsidP="00C446F4">
                      <w:pPr>
                        <w:autoSpaceDE w:val="0"/>
                        <w:autoSpaceDN w:val="0"/>
                        <w:adjustRightInd w:val="0"/>
                        <w:rPr>
                          <w:rFonts w:ascii="Courier New" w:hAnsi="Courier New" w:cs="Courier New"/>
                          <w:sz w:val="16"/>
                          <w:szCs w:val="16"/>
                          <w:lang w:val="pt-BR"/>
                        </w:rPr>
                      </w:pPr>
                      <w:r w:rsidRPr="004B37A2">
                        <w:rPr>
                          <w:rFonts w:ascii="Courier New" w:hAnsi="Courier New" w:cs="Courier New"/>
                          <w:sz w:val="16"/>
                          <w:szCs w:val="16"/>
                          <w:lang w:val="pt-BR"/>
                        </w:rPr>
                        <w:t xml:space="preserve">FACTOR </w:t>
                      </w:r>
                      <w:proofErr w:type="gramStart"/>
                      <w:r w:rsidRPr="004B37A2">
                        <w:rPr>
                          <w:rFonts w:ascii="Courier New" w:hAnsi="Courier New" w:cs="Courier New"/>
                          <w:sz w:val="16"/>
                          <w:szCs w:val="16"/>
                          <w:lang w:val="pt-BR"/>
                        </w:rPr>
                        <w:t>3</w:t>
                      </w:r>
                      <w:proofErr w:type="gramEnd"/>
                      <w:r w:rsidRPr="004B37A2">
                        <w:rPr>
                          <w:rFonts w:ascii="Courier New" w:hAnsi="Courier New" w:cs="Courier New"/>
                          <w:sz w:val="16"/>
                          <w:szCs w:val="16"/>
                          <w:lang w:val="pt-BR"/>
                        </w:rPr>
                        <w:t xml:space="preserve">   0,3948   0,0000   0,0000   1,0000 </w:t>
                      </w:r>
                    </w:p>
                    <w:p w:rsidR="0044221C" w:rsidRPr="004B37A2" w:rsidRDefault="0044221C" w:rsidP="00C446F4">
                      <w:pPr>
                        <w:autoSpaceDE w:val="0"/>
                        <w:autoSpaceDN w:val="0"/>
                        <w:adjustRightInd w:val="0"/>
                        <w:rPr>
                          <w:rFonts w:ascii="Courier New" w:hAnsi="Courier New" w:cs="Courier New"/>
                          <w:sz w:val="16"/>
                          <w:szCs w:val="16"/>
                          <w:lang w:val="pt-BR"/>
                        </w:rPr>
                      </w:pPr>
                    </w:p>
                    <w:p w:rsidR="0044221C" w:rsidRPr="004B37A2" w:rsidRDefault="0044221C" w:rsidP="00C446F4">
                      <w:pPr>
                        <w:autoSpaceDE w:val="0"/>
                        <w:autoSpaceDN w:val="0"/>
                        <w:adjustRightInd w:val="0"/>
                        <w:rPr>
                          <w:rFonts w:ascii="Courier New" w:hAnsi="Courier New" w:cs="Courier New"/>
                          <w:b/>
                          <w:sz w:val="16"/>
                          <w:szCs w:val="16"/>
                          <w:lang w:val="pt-BR"/>
                        </w:rPr>
                      </w:pPr>
                      <w:r w:rsidRPr="004B37A2">
                        <w:rPr>
                          <w:rFonts w:ascii="Courier New" w:hAnsi="Courier New" w:cs="Courier New"/>
                          <w:b/>
                          <w:sz w:val="16"/>
                          <w:szCs w:val="16"/>
                          <w:lang w:val="pt-BR"/>
                        </w:rPr>
                        <w:t xml:space="preserve">Coeficiente de </w:t>
                      </w:r>
                      <w:proofErr w:type="spellStart"/>
                      <w:r w:rsidRPr="004B37A2">
                        <w:rPr>
                          <w:rFonts w:ascii="Courier New" w:hAnsi="Courier New" w:cs="Courier New"/>
                          <w:b/>
                          <w:sz w:val="16"/>
                          <w:szCs w:val="16"/>
                          <w:lang w:val="pt-BR"/>
                        </w:rPr>
                        <w:t>determinación</w:t>
                      </w:r>
                      <w:proofErr w:type="spellEnd"/>
                      <w:r w:rsidRPr="004B37A2">
                        <w:rPr>
                          <w:rFonts w:ascii="Courier New" w:hAnsi="Courier New" w:cs="Courier New"/>
                          <w:b/>
                          <w:sz w:val="16"/>
                          <w:szCs w:val="16"/>
                          <w:lang w:val="pt-BR"/>
                        </w:rPr>
                        <w:t>:        0,9262</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Coeficiente de correlación múltiple: 0,9624</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Coeficiente de regresión alfa: 0,1220</w:t>
                      </w:r>
                    </w:p>
                    <w:p w:rsidR="0044221C" w:rsidRPr="004B37A2" w:rsidRDefault="0044221C" w:rsidP="00C446F4">
                      <w:pPr>
                        <w:autoSpaceDE w:val="0"/>
                        <w:autoSpaceDN w:val="0"/>
                        <w:adjustRightInd w:val="0"/>
                        <w:rPr>
                          <w:rFonts w:ascii="Courier New" w:hAnsi="Courier New" w:cs="Courier New"/>
                          <w:sz w:val="16"/>
                          <w:szCs w:val="16"/>
                        </w:rPr>
                      </w:pP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COEFIC.        SUMA DE       PROPORC.</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DESVIACIÓN    COEFICIENTE    ERROR     T DE   CORREL.       CUADRADOS      VARIANZA</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VARIABLE      MEDIA        ESTÁNDAR      REGRESIÓN   ESTÁNDAR  STUDENT  PARCIAL        AÑADIDA       </w:t>
                      </w:r>
                      <w:proofErr w:type="spellStart"/>
                      <w:r w:rsidRPr="004B37A2">
                        <w:rPr>
                          <w:rFonts w:ascii="Courier New" w:hAnsi="Courier New" w:cs="Courier New"/>
                          <w:sz w:val="16"/>
                          <w:szCs w:val="16"/>
                        </w:rPr>
                        <w:t>AÑADIDA</w:t>
                      </w:r>
                      <w:proofErr w:type="spellEnd"/>
                      <w:r w:rsidRPr="004B37A2">
                        <w:rPr>
                          <w:rFonts w:ascii="Courier New" w:hAnsi="Courier New" w:cs="Courier New"/>
                          <w:sz w:val="16"/>
                          <w:szCs w:val="16"/>
                        </w:rPr>
                        <w:t xml:space="preserve"> </w:t>
                      </w:r>
                    </w:p>
                    <w:p w:rsidR="0044221C" w:rsidRPr="00C446F4" w:rsidRDefault="0044221C" w:rsidP="00C446F4">
                      <w:pPr>
                        <w:autoSpaceDE w:val="0"/>
                        <w:autoSpaceDN w:val="0"/>
                        <w:adjustRightInd w:val="0"/>
                        <w:rPr>
                          <w:rFonts w:ascii="Courier New" w:hAnsi="Courier New" w:cs="Courier New"/>
                          <w:sz w:val="16"/>
                          <w:szCs w:val="16"/>
                          <w:lang w:val="en-US"/>
                        </w:rPr>
                      </w:pPr>
                      <w:r w:rsidRPr="00C446F4">
                        <w:rPr>
                          <w:rFonts w:ascii="Courier New" w:hAnsi="Courier New" w:cs="Courier New"/>
                          <w:sz w:val="16"/>
                          <w:szCs w:val="16"/>
                          <w:lang w:val="en-US"/>
                        </w:rPr>
                        <w:t>-------- -------------- --------------  ----------- ---------- -------- ------- -------------------- --------</w:t>
                      </w:r>
                    </w:p>
                    <w:p w:rsidR="0044221C" w:rsidRPr="00C446F4" w:rsidRDefault="0044221C" w:rsidP="00C446F4">
                      <w:pPr>
                        <w:autoSpaceDE w:val="0"/>
                        <w:autoSpaceDN w:val="0"/>
                        <w:adjustRightInd w:val="0"/>
                        <w:rPr>
                          <w:rFonts w:ascii="Courier New" w:hAnsi="Courier New" w:cs="Courier New"/>
                          <w:sz w:val="16"/>
                          <w:szCs w:val="16"/>
                          <w:lang w:val="en-US"/>
                        </w:rPr>
                      </w:pPr>
                      <w:r w:rsidRPr="00C446F4">
                        <w:rPr>
                          <w:rFonts w:ascii="Courier New" w:hAnsi="Courier New" w:cs="Courier New"/>
                          <w:sz w:val="16"/>
                          <w:szCs w:val="16"/>
                          <w:lang w:val="en-US"/>
                        </w:rPr>
                        <w:t>S                0</w:t>
                      </w:r>
                      <w:proofErr w:type="gramStart"/>
                      <w:r w:rsidRPr="00C446F4">
                        <w:rPr>
                          <w:rFonts w:ascii="Courier New" w:hAnsi="Courier New" w:cs="Courier New"/>
                          <w:sz w:val="16"/>
                          <w:szCs w:val="16"/>
                          <w:lang w:val="en-US"/>
                        </w:rPr>
                        <w:t>,1220</w:t>
                      </w:r>
                      <w:proofErr w:type="gramEnd"/>
                      <w:r w:rsidRPr="00C446F4">
                        <w:rPr>
                          <w:rFonts w:ascii="Courier New" w:hAnsi="Courier New" w:cs="Courier New"/>
                          <w:sz w:val="16"/>
                          <w:szCs w:val="16"/>
                          <w:lang w:val="en-US"/>
                        </w:rPr>
                        <w:t xml:space="preserve">         0,0236                                                              </w:t>
                      </w:r>
                    </w:p>
                    <w:p w:rsidR="0044221C" w:rsidRPr="00C446F4" w:rsidRDefault="0044221C" w:rsidP="00C446F4">
                      <w:pPr>
                        <w:autoSpaceDE w:val="0"/>
                        <w:autoSpaceDN w:val="0"/>
                        <w:adjustRightInd w:val="0"/>
                        <w:rPr>
                          <w:rFonts w:ascii="Courier New" w:hAnsi="Courier New" w:cs="Courier New"/>
                          <w:sz w:val="16"/>
                          <w:szCs w:val="16"/>
                          <w:lang w:val="en-US"/>
                        </w:rPr>
                      </w:pPr>
                      <w:r w:rsidRPr="00C446F4">
                        <w:rPr>
                          <w:rFonts w:ascii="Courier New" w:hAnsi="Courier New" w:cs="Courier New"/>
                          <w:sz w:val="16"/>
                          <w:szCs w:val="16"/>
                          <w:lang w:val="en-US"/>
                        </w:rPr>
                        <w:t xml:space="preserve">FACTOR 1         0,0000         1,0000       </w:t>
                      </w:r>
                      <w:r w:rsidRPr="00C446F4">
                        <w:rPr>
                          <w:rFonts w:ascii="Courier New" w:hAnsi="Courier New" w:cs="Courier New"/>
                          <w:b/>
                          <w:sz w:val="16"/>
                          <w:szCs w:val="16"/>
                          <w:lang w:val="en-US"/>
                        </w:rPr>
                        <w:t>0,0069</w:t>
                      </w:r>
                      <w:r w:rsidRPr="00C446F4">
                        <w:rPr>
                          <w:rFonts w:ascii="Courier New" w:hAnsi="Courier New" w:cs="Courier New"/>
                          <w:sz w:val="16"/>
                          <w:szCs w:val="16"/>
                          <w:lang w:val="en-US"/>
                        </w:rPr>
                        <w:t xml:space="preserve">     0,0026   2,6276  0,7315               0,0005  0,0849            </w:t>
                      </w:r>
                    </w:p>
                    <w:p w:rsidR="0044221C" w:rsidRPr="00C446F4" w:rsidRDefault="0044221C" w:rsidP="00C446F4">
                      <w:pPr>
                        <w:autoSpaceDE w:val="0"/>
                        <w:autoSpaceDN w:val="0"/>
                        <w:adjustRightInd w:val="0"/>
                        <w:rPr>
                          <w:rFonts w:ascii="Courier New" w:hAnsi="Courier New" w:cs="Courier New"/>
                          <w:b/>
                          <w:sz w:val="16"/>
                          <w:szCs w:val="16"/>
                          <w:lang w:val="en-US"/>
                        </w:rPr>
                      </w:pPr>
                      <w:r w:rsidRPr="00C446F4">
                        <w:rPr>
                          <w:rFonts w:ascii="Courier New" w:hAnsi="Courier New" w:cs="Courier New"/>
                          <w:b/>
                          <w:sz w:val="16"/>
                          <w:szCs w:val="16"/>
                          <w:lang w:val="en-US"/>
                        </w:rPr>
                        <w:t xml:space="preserve">                                                               (p=0</w:t>
                      </w:r>
                      <w:proofErr w:type="gramStart"/>
                      <w:r w:rsidRPr="00C446F4">
                        <w:rPr>
                          <w:rFonts w:ascii="Courier New" w:hAnsi="Courier New" w:cs="Courier New"/>
                          <w:b/>
                          <w:sz w:val="16"/>
                          <w:szCs w:val="16"/>
                          <w:lang w:val="en-US"/>
                        </w:rPr>
                        <w:t>,0392</w:t>
                      </w:r>
                      <w:proofErr w:type="gramEnd"/>
                      <w:r w:rsidRPr="00C446F4">
                        <w:rPr>
                          <w:rFonts w:ascii="Courier New" w:hAnsi="Courier New" w:cs="Courier New"/>
                          <w:b/>
                          <w:sz w:val="16"/>
                          <w:szCs w:val="16"/>
                          <w:lang w:val="en-US"/>
                        </w:rPr>
                        <w:t xml:space="preserve">)                                                 </w:t>
                      </w:r>
                    </w:p>
                    <w:p w:rsidR="0044221C" w:rsidRPr="00C446F4" w:rsidRDefault="0044221C" w:rsidP="00C446F4">
                      <w:pPr>
                        <w:autoSpaceDE w:val="0"/>
                        <w:autoSpaceDN w:val="0"/>
                        <w:adjustRightInd w:val="0"/>
                        <w:rPr>
                          <w:rFonts w:ascii="Courier New" w:hAnsi="Courier New" w:cs="Courier New"/>
                          <w:sz w:val="16"/>
                          <w:szCs w:val="16"/>
                          <w:lang w:val="en-US"/>
                        </w:rPr>
                      </w:pPr>
                      <w:r w:rsidRPr="00C446F4">
                        <w:rPr>
                          <w:rFonts w:ascii="Courier New" w:hAnsi="Courier New" w:cs="Courier New"/>
                          <w:sz w:val="16"/>
                          <w:szCs w:val="16"/>
                          <w:lang w:val="en-US"/>
                        </w:rPr>
                        <w:t xml:space="preserve">FACTOR 2         0,0000         1,0000       </w:t>
                      </w:r>
                      <w:r w:rsidRPr="00C446F4">
                        <w:rPr>
                          <w:rFonts w:ascii="Courier New" w:hAnsi="Courier New" w:cs="Courier New"/>
                          <w:b/>
                          <w:sz w:val="16"/>
                          <w:szCs w:val="16"/>
                          <w:lang w:val="en-US"/>
                        </w:rPr>
                        <w:t>0,0195</w:t>
                      </w:r>
                      <w:r w:rsidRPr="00C446F4">
                        <w:rPr>
                          <w:rFonts w:ascii="Courier New" w:hAnsi="Courier New" w:cs="Courier New"/>
                          <w:sz w:val="16"/>
                          <w:szCs w:val="16"/>
                          <w:lang w:val="en-US"/>
                        </w:rPr>
                        <w:t xml:space="preserve">     0,0026   7,4634  0,9501               0,0038  0,6853            </w:t>
                      </w:r>
                    </w:p>
                    <w:p w:rsidR="0044221C" w:rsidRPr="00C446F4" w:rsidRDefault="0044221C" w:rsidP="00C446F4">
                      <w:pPr>
                        <w:autoSpaceDE w:val="0"/>
                        <w:autoSpaceDN w:val="0"/>
                        <w:adjustRightInd w:val="0"/>
                        <w:rPr>
                          <w:rFonts w:ascii="Courier New" w:hAnsi="Courier New" w:cs="Courier New"/>
                          <w:b/>
                          <w:sz w:val="16"/>
                          <w:szCs w:val="16"/>
                          <w:lang w:val="en-US"/>
                        </w:rPr>
                      </w:pPr>
                      <w:r w:rsidRPr="00C446F4">
                        <w:rPr>
                          <w:rFonts w:ascii="Courier New" w:hAnsi="Courier New" w:cs="Courier New"/>
                          <w:b/>
                          <w:sz w:val="16"/>
                          <w:szCs w:val="16"/>
                          <w:lang w:val="en-US"/>
                        </w:rPr>
                        <w:t xml:space="preserve">                                                               (p=0</w:t>
                      </w:r>
                      <w:proofErr w:type="gramStart"/>
                      <w:r w:rsidRPr="00C446F4">
                        <w:rPr>
                          <w:rFonts w:ascii="Courier New" w:hAnsi="Courier New" w:cs="Courier New"/>
                          <w:b/>
                          <w:sz w:val="16"/>
                          <w:szCs w:val="16"/>
                          <w:lang w:val="en-US"/>
                        </w:rPr>
                        <w:t>,0003</w:t>
                      </w:r>
                      <w:proofErr w:type="gramEnd"/>
                      <w:r w:rsidRPr="00C446F4">
                        <w:rPr>
                          <w:rFonts w:ascii="Courier New" w:hAnsi="Courier New" w:cs="Courier New"/>
                          <w:b/>
                          <w:sz w:val="16"/>
                          <w:szCs w:val="16"/>
                          <w:lang w:val="en-US"/>
                        </w:rPr>
                        <w:t xml:space="preserve">)                                                 </w:t>
                      </w:r>
                    </w:p>
                    <w:p w:rsidR="0044221C" w:rsidRPr="000D4E39" w:rsidRDefault="0044221C" w:rsidP="00C446F4">
                      <w:pPr>
                        <w:autoSpaceDE w:val="0"/>
                        <w:autoSpaceDN w:val="0"/>
                        <w:adjustRightInd w:val="0"/>
                        <w:rPr>
                          <w:rFonts w:ascii="Courier New" w:hAnsi="Courier New" w:cs="Courier New"/>
                          <w:sz w:val="16"/>
                          <w:szCs w:val="16"/>
                          <w:lang w:val="en-US"/>
                        </w:rPr>
                      </w:pPr>
                      <w:r w:rsidRPr="000D4E39">
                        <w:rPr>
                          <w:rFonts w:ascii="Courier New" w:hAnsi="Courier New" w:cs="Courier New"/>
                          <w:sz w:val="16"/>
                          <w:szCs w:val="16"/>
                          <w:lang w:val="en-US"/>
                        </w:rPr>
                        <w:t xml:space="preserve">FACTOR 3         0,0000         1,0000       </w:t>
                      </w:r>
                      <w:r w:rsidRPr="000D4E39">
                        <w:rPr>
                          <w:rFonts w:ascii="Courier New" w:hAnsi="Courier New" w:cs="Courier New"/>
                          <w:b/>
                          <w:sz w:val="16"/>
                          <w:szCs w:val="16"/>
                          <w:lang w:val="en-US"/>
                        </w:rPr>
                        <w:t>0,0093</w:t>
                      </w:r>
                      <w:r w:rsidRPr="000D4E39">
                        <w:rPr>
                          <w:rFonts w:ascii="Courier New" w:hAnsi="Courier New" w:cs="Courier New"/>
                          <w:sz w:val="16"/>
                          <w:szCs w:val="16"/>
                          <w:lang w:val="en-US"/>
                        </w:rPr>
                        <w:t xml:space="preserve">     0,0026   3,5597  0,8238               0,0009  0,1559            </w:t>
                      </w:r>
                    </w:p>
                    <w:p w:rsidR="0044221C" w:rsidRPr="004B37A2" w:rsidRDefault="0044221C" w:rsidP="00C446F4">
                      <w:pPr>
                        <w:autoSpaceDE w:val="0"/>
                        <w:autoSpaceDN w:val="0"/>
                        <w:adjustRightInd w:val="0"/>
                        <w:rPr>
                          <w:rFonts w:ascii="Courier New" w:hAnsi="Courier New" w:cs="Courier New"/>
                          <w:b/>
                          <w:sz w:val="16"/>
                          <w:szCs w:val="16"/>
                        </w:rPr>
                      </w:pPr>
                      <w:r w:rsidRPr="000D4E39">
                        <w:rPr>
                          <w:rFonts w:ascii="Courier New" w:hAnsi="Courier New" w:cs="Courier New"/>
                          <w:b/>
                          <w:sz w:val="16"/>
                          <w:szCs w:val="16"/>
                          <w:lang w:val="en-US"/>
                        </w:rPr>
                        <w:t xml:space="preserve">                                                               </w:t>
                      </w:r>
                      <w:r w:rsidRPr="004B37A2">
                        <w:rPr>
                          <w:rFonts w:ascii="Courier New" w:hAnsi="Courier New" w:cs="Courier New"/>
                          <w:b/>
                          <w:sz w:val="16"/>
                          <w:szCs w:val="16"/>
                        </w:rPr>
                        <w:t xml:space="preserve">(p=0,0119)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 --------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w:t>
                      </w:r>
                      <w:r>
                        <w:rPr>
                          <w:rFonts w:ascii="Courier New" w:hAnsi="Courier New" w:cs="Courier New"/>
                          <w:sz w:val="16"/>
                          <w:szCs w:val="16"/>
                        </w:rPr>
                        <w:t xml:space="preserve">     0,0051  0,9262       </w:t>
                      </w:r>
                      <w:r w:rsidRPr="004B37A2">
                        <w:rPr>
                          <w:rFonts w:ascii="Courier New" w:hAnsi="Courier New" w:cs="Courier New"/>
                          <w:b/>
                          <w:sz w:val="16"/>
                          <w:szCs w:val="16"/>
                        </w:rPr>
                        <w:t>ANÁLISIS DE LA VARIANZA</w:t>
                      </w:r>
                    </w:p>
                    <w:p w:rsidR="0044221C" w:rsidRPr="004B37A2" w:rsidRDefault="0044221C" w:rsidP="00C446F4">
                      <w:pPr>
                        <w:autoSpaceDE w:val="0"/>
                        <w:autoSpaceDN w:val="0"/>
                        <w:adjustRightInd w:val="0"/>
                        <w:rPr>
                          <w:rFonts w:ascii="Courier New" w:hAnsi="Courier New" w:cs="Courier New"/>
                          <w:sz w:val="16"/>
                          <w:szCs w:val="16"/>
                        </w:rPr>
                      </w:pP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FUENTE DE VARIACIÓN    GRADOS LIBERTAD      SUMA CUADRADOS          MEDIA CUADRADOS</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   ---------------------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Debida a la regresión:          3                        0,0051                 0,0017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Residuo:                        6                        0,0004                 0,0001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                            -----         ---------------------  </w:t>
                      </w:r>
                    </w:p>
                    <w:p w:rsidR="0044221C" w:rsidRPr="004B37A2" w:rsidRDefault="0044221C" w:rsidP="00C446F4">
                      <w:pPr>
                        <w:autoSpaceDE w:val="0"/>
                        <w:autoSpaceDN w:val="0"/>
                        <w:adjustRightInd w:val="0"/>
                        <w:rPr>
                          <w:rFonts w:ascii="Courier New" w:hAnsi="Courier New" w:cs="Courier New"/>
                          <w:sz w:val="16"/>
                          <w:szCs w:val="16"/>
                        </w:rPr>
                      </w:pPr>
                      <w:r w:rsidRPr="004B37A2">
                        <w:rPr>
                          <w:rFonts w:ascii="Courier New" w:hAnsi="Courier New" w:cs="Courier New"/>
                          <w:sz w:val="16"/>
                          <w:szCs w:val="16"/>
                        </w:rPr>
                        <w:t xml:space="preserve">Varianza total:                 9                        0,0056                                                         </w:t>
                      </w:r>
                    </w:p>
                    <w:p w:rsidR="0044221C" w:rsidRDefault="0044221C" w:rsidP="00C446F4">
                      <w:pPr>
                        <w:rPr>
                          <w:rFonts w:ascii="Courier New" w:hAnsi="Courier New" w:cs="Courier New"/>
                          <w:sz w:val="16"/>
                          <w:szCs w:val="16"/>
                        </w:rPr>
                      </w:pPr>
                      <w:r w:rsidRPr="004B37A2">
                        <w:rPr>
                          <w:rFonts w:ascii="Courier New" w:hAnsi="Courier New" w:cs="Courier New"/>
                          <w:sz w:val="16"/>
                          <w:szCs w:val="16"/>
                        </w:rPr>
                        <w:t xml:space="preserve">   </w:t>
                      </w:r>
                    </w:p>
                    <w:p w:rsidR="0044221C" w:rsidRPr="004B37A2" w:rsidRDefault="0044221C" w:rsidP="00C446F4">
                      <w:pPr>
                        <w:rPr>
                          <w:sz w:val="16"/>
                          <w:szCs w:val="16"/>
                        </w:rPr>
                      </w:pPr>
                      <w:r w:rsidRPr="004B37A2">
                        <w:rPr>
                          <w:rFonts w:ascii="Courier New" w:hAnsi="Courier New" w:cs="Courier New"/>
                          <w:sz w:val="16"/>
                          <w:szCs w:val="16"/>
                        </w:rPr>
                        <w:t xml:space="preserve">  F de </w:t>
                      </w:r>
                      <w:proofErr w:type="spellStart"/>
                      <w:r w:rsidRPr="004B37A2">
                        <w:rPr>
                          <w:rFonts w:ascii="Courier New" w:hAnsi="Courier New" w:cs="Courier New"/>
                          <w:sz w:val="16"/>
                          <w:szCs w:val="16"/>
                        </w:rPr>
                        <w:t>Snedecor</w:t>
                      </w:r>
                      <w:proofErr w:type="spellEnd"/>
                      <w:r w:rsidRPr="004B37A2">
                        <w:rPr>
                          <w:rFonts w:ascii="Courier New" w:hAnsi="Courier New" w:cs="Courier New"/>
                          <w:sz w:val="16"/>
                          <w:szCs w:val="16"/>
                        </w:rPr>
                        <w:t xml:space="preserve"> con 3 y 6 grados de libertad = 25,0930  </w:t>
                      </w:r>
                      <w:r w:rsidRPr="004B37A2">
                        <w:rPr>
                          <w:rFonts w:ascii="Courier New" w:hAnsi="Courier New" w:cs="Courier New"/>
                          <w:b/>
                          <w:sz w:val="16"/>
                          <w:szCs w:val="16"/>
                        </w:rPr>
                        <w:t xml:space="preserve"> (p= 0,0009)</w:t>
                      </w:r>
                    </w:p>
                  </w:txbxContent>
                </v:textbox>
              </v:rect>
            </w:pict>
          </mc:Fallback>
        </mc:AlternateContent>
      </w: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rPr>
          <w:b/>
        </w:rPr>
      </w:pPr>
    </w:p>
    <w:p w:rsidR="00C446F4" w:rsidRDefault="00C446F4" w:rsidP="00C446F4">
      <w:pPr>
        <w:jc w:val="center"/>
      </w:pPr>
    </w:p>
    <w:p w:rsidR="008B22DF" w:rsidRDefault="008B22DF" w:rsidP="00C446F4">
      <w:pPr>
        <w:jc w:val="center"/>
      </w:pPr>
    </w:p>
    <w:p w:rsidR="008B22DF" w:rsidRDefault="008B22DF" w:rsidP="00C446F4">
      <w:pPr>
        <w:jc w:val="center"/>
      </w:pPr>
    </w:p>
    <w:p w:rsidR="008B22DF" w:rsidRDefault="008B22DF" w:rsidP="00C446F4">
      <w:pPr>
        <w:jc w:val="center"/>
      </w:pPr>
    </w:p>
    <w:p w:rsidR="008B22DF" w:rsidRDefault="008B22DF" w:rsidP="00C446F4">
      <w:pPr>
        <w:jc w:val="center"/>
      </w:pPr>
    </w:p>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Default="00C446F4" w:rsidP="00C446F4"/>
    <w:p w:rsidR="00C446F4" w:rsidRPr="008B22DF" w:rsidRDefault="00C446F4" w:rsidP="00C446F4">
      <w:pPr>
        <w:jc w:val="center"/>
        <w:rPr>
          <w:b/>
          <w:sz w:val="20"/>
          <w:szCs w:val="22"/>
        </w:rPr>
      </w:pPr>
      <w:r w:rsidRPr="008B22DF">
        <w:rPr>
          <w:b/>
          <w:sz w:val="20"/>
          <w:szCs w:val="22"/>
        </w:rPr>
        <w:t>Fuente: Elaboración propia</w:t>
      </w:r>
    </w:p>
    <w:p w:rsidR="008B22DF" w:rsidRDefault="008B22DF" w:rsidP="00C446F4">
      <w:pPr>
        <w:jc w:val="both"/>
      </w:pPr>
    </w:p>
    <w:p w:rsidR="008B22DF" w:rsidRDefault="008B22DF" w:rsidP="00C446F4">
      <w:pPr>
        <w:jc w:val="both"/>
      </w:pPr>
    </w:p>
    <w:p w:rsidR="008B22DF" w:rsidRDefault="008B22DF" w:rsidP="00C446F4">
      <w:pPr>
        <w:jc w:val="both"/>
      </w:pPr>
    </w:p>
    <w:p w:rsidR="00C446F4" w:rsidRDefault="00C446F4" w:rsidP="00C446F4">
      <w:pPr>
        <w:jc w:val="both"/>
      </w:pPr>
      <w:r>
        <w:lastRenderedPageBreak/>
        <w:t xml:space="preserve">Todos los factores son significativos, lo que se comprueba con el contraste de significación individual y el cálculo del valor de la t de </w:t>
      </w:r>
      <w:proofErr w:type="spellStart"/>
      <w:r>
        <w:t>Student</w:t>
      </w:r>
      <w:proofErr w:type="spellEnd"/>
      <w:r>
        <w:t xml:space="preserve"> para cada factor. En este caso, la probabilidad de aceptar la hipótesis nula (coeficientes igual a 0) se rechaza (probabilidad siempre menor de 0,05), por lo que todos los factores son significativos. </w:t>
      </w:r>
    </w:p>
    <w:p w:rsidR="00C446F4" w:rsidRDefault="00C446F4" w:rsidP="00C446F4">
      <w:pPr>
        <w:jc w:val="both"/>
      </w:pPr>
    </w:p>
    <w:p w:rsidR="00C446F4" w:rsidRDefault="00C446F4" w:rsidP="00C446F4">
      <w:pPr>
        <w:jc w:val="both"/>
      </w:pPr>
      <w:r>
        <w:t xml:space="preserve">Se puede apreciar con el contraste de la F de </w:t>
      </w:r>
      <w:proofErr w:type="spellStart"/>
      <w:r>
        <w:t>Snedecor</w:t>
      </w:r>
      <w:proofErr w:type="spellEnd"/>
      <w:r>
        <w:t xml:space="preserve"> que globalmente todas los factores son significativos. </w:t>
      </w:r>
    </w:p>
    <w:p w:rsidR="00C446F4" w:rsidRDefault="00C446F4" w:rsidP="00C446F4">
      <w:pPr>
        <w:jc w:val="both"/>
      </w:pPr>
    </w:p>
    <w:p w:rsidR="00C446F4" w:rsidRDefault="00C446F4" w:rsidP="00C446F4">
      <w:pPr>
        <w:jc w:val="both"/>
      </w:pPr>
      <w:r>
        <w:t xml:space="preserve">Se observa en la estimación que el mayor coeficiente de regresión corresponde al factor Inflación/Paro. Ello implica que el nivel de pérdida del poder adquisitivo y el paro son las magnitudes que más afectan a la tasa de ahorro de los hogares. Este hecho se explica por la alta tasa de paro española. En segundo lugar, afecta más la confianza en la marcha de la economía (tanto general como de los propios hogares). Por último, el factor que menos afecta a la tasa de ahorro familiar es la renta y la riqueza.  </w:t>
      </w:r>
    </w:p>
    <w:p w:rsidR="00C446F4" w:rsidRDefault="00C446F4" w:rsidP="00C446F4"/>
    <w:p w:rsidR="00C446F4" w:rsidRDefault="00C446F4" w:rsidP="00C446F4">
      <w:pPr>
        <w:jc w:val="both"/>
      </w:pPr>
      <w:r>
        <w:t>En cuanto a la bondad de ajuste del modelo, el coeficiente de determinación R</w:t>
      </w:r>
      <w:r w:rsidRPr="00C26E11">
        <w:rPr>
          <w:vertAlign w:val="superscript"/>
        </w:rPr>
        <w:t>2</w:t>
      </w:r>
      <w:r>
        <w:t xml:space="preserve"> tiene un valor de 92,62% lo que significa que la variable dependiente tasa de ahorro se encuentra explicada en este porcentaje por los factores calculados. Ello implica que el modelo es altamente explicativo. </w:t>
      </w:r>
    </w:p>
    <w:p w:rsidR="00C446F4" w:rsidRDefault="00C446F4">
      <w:pPr>
        <w:rPr>
          <w:b/>
        </w:rPr>
      </w:pPr>
    </w:p>
    <w:p w:rsidR="00C446F4" w:rsidRDefault="00C446F4" w:rsidP="00331C39">
      <w:pPr>
        <w:pStyle w:val="Ttulo3"/>
        <w:numPr>
          <w:ilvl w:val="2"/>
          <w:numId w:val="18"/>
        </w:numPr>
      </w:pPr>
      <w:bookmarkStart w:id="14" w:name="_Toc291939266"/>
      <w:r>
        <w:t>Modelo ARIMA</w:t>
      </w:r>
      <w:bookmarkEnd w:id="14"/>
    </w:p>
    <w:p w:rsidR="00C446F4" w:rsidRDefault="00C446F4">
      <w:pPr>
        <w:rPr>
          <w:b/>
        </w:rPr>
      </w:pPr>
    </w:p>
    <w:p w:rsidR="00C446F4" w:rsidRDefault="008B22DF" w:rsidP="00C446F4">
      <w:pPr>
        <w:jc w:val="both"/>
      </w:pPr>
      <w:r>
        <w:t>Para apoyar el análisis cuantitativo, se</w:t>
      </w:r>
      <w:r w:rsidR="00C446F4">
        <w:t xml:space="preserve"> ha buscado diseñar un modelo que se aproxime al comportamiento de la serie</w:t>
      </w:r>
      <w:r>
        <w:t xml:space="preserve"> temporal de la tasa de ahorro de los hogares españoles. </w:t>
      </w:r>
      <w:r w:rsidR="00C446F4">
        <w:t xml:space="preserve">La metodología seguida ha sido la de los modelos </w:t>
      </w:r>
      <w:proofErr w:type="spellStart"/>
      <w:r w:rsidR="00C446F4">
        <w:t>univariantes</w:t>
      </w:r>
      <w:proofErr w:type="spellEnd"/>
      <w:r w:rsidR="00C446F4">
        <w:t xml:space="preserve"> ARIMA. Esta metodología tiene una serie de ventajas y de inconvenientes que conviene tener en cuenta a la hora de diseñar el modelo e interpretar sus resultados. En cuanto a las ventajas, se pueden señalar las siguientes (Garrido, Mañas y otros, 2003):</w:t>
      </w:r>
    </w:p>
    <w:p w:rsidR="00C446F4" w:rsidRDefault="00C446F4" w:rsidP="00C446F4">
      <w:pPr>
        <w:jc w:val="both"/>
      </w:pPr>
    </w:p>
    <w:p w:rsidR="00C446F4" w:rsidRDefault="00C446F4" w:rsidP="00C446F4">
      <w:pPr>
        <w:numPr>
          <w:ilvl w:val="0"/>
          <w:numId w:val="14"/>
        </w:numPr>
        <w:jc w:val="both"/>
      </w:pPr>
      <w:r>
        <w:t>Son los modelos más sencillos que se pueden construir, ya que utilizan la información mínima posible. Ello posibilita que no se incurra en elevados costes materiales y humanos y que se puedan elaborar con la periodicidad adecuada para el análisis de la coyuntura.</w:t>
      </w:r>
    </w:p>
    <w:p w:rsidR="00C446F4" w:rsidRDefault="00C446F4" w:rsidP="00C446F4">
      <w:pPr>
        <w:numPr>
          <w:ilvl w:val="0"/>
          <w:numId w:val="14"/>
        </w:numPr>
        <w:jc w:val="both"/>
      </w:pPr>
      <w:r>
        <w:t>Permiten proyectar la evolución futura del fenómeno económico con rapidez y frecuencias necesarias para el análisis de coyuntura, siendo las predicciones consistentes con las de modelos más complejos.</w:t>
      </w:r>
    </w:p>
    <w:p w:rsidR="00C446F4" w:rsidRDefault="00C446F4" w:rsidP="00C446F4">
      <w:pPr>
        <w:numPr>
          <w:ilvl w:val="0"/>
          <w:numId w:val="14"/>
        </w:numPr>
        <w:jc w:val="both"/>
      </w:pPr>
      <w:r>
        <w:t>Permiten valorar con rapidez los nuevos datos que se conocen sobre los diversos indicadores económicos, tomando como punto de referencia para su diagnóstico coyuntural la comparación del nuevo dato observado con su predicción.</w:t>
      </w:r>
    </w:p>
    <w:p w:rsidR="00C446F4" w:rsidRDefault="00C446F4" w:rsidP="00C446F4">
      <w:pPr>
        <w:numPr>
          <w:ilvl w:val="0"/>
          <w:numId w:val="14"/>
        </w:numPr>
        <w:jc w:val="both"/>
      </w:pPr>
      <w:r>
        <w:t>Ofrecen una descripción sistemática del comportamiento de la variable.</w:t>
      </w:r>
    </w:p>
    <w:p w:rsidR="00C446F4" w:rsidRDefault="00C446F4" w:rsidP="00C446F4">
      <w:pPr>
        <w:jc w:val="both"/>
      </w:pPr>
    </w:p>
    <w:p w:rsidR="00C446F4" w:rsidRDefault="00C446F4" w:rsidP="00C446F4">
      <w:pPr>
        <w:jc w:val="both"/>
      </w:pPr>
      <w:r>
        <w:t>Por su parte, los inconvenientes de estos modelos son los siguientes (Garrido, Mañas y otros, 2003):</w:t>
      </w:r>
    </w:p>
    <w:p w:rsidR="00C446F4" w:rsidRDefault="00C446F4" w:rsidP="00C446F4">
      <w:pPr>
        <w:jc w:val="both"/>
      </w:pPr>
    </w:p>
    <w:p w:rsidR="00C446F4" w:rsidRDefault="00C446F4" w:rsidP="00C446F4">
      <w:pPr>
        <w:numPr>
          <w:ilvl w:val="0"/>
          <w:numId w:val="15"/>
        </w:numPr>
        <w:jc w:val="both"/>
      </w:pPr>
      <w:r>
        <w:t>Suelen ser ineficientes puesto  que sólo utilizan información sobre su propio pasado, lo que puede limitar las predicciones, que serán menos precisas.</w:t>
      </w:r>
    </w:p>
    <w:p w:rsidR="00C446F4" w:rsidRDefault="00C446F4" w:rsidP="00C446F4">
      <w:pPr>
        <w:numPr>
          <w:ilvl w:val="0"/>
          <w:numId w:val="15"/>
        </w:numPr>
        <w:jc w:val="both"/>
      </w:pPr>
      <w:r>
        <w:t>No permiten captar las relaciones de causalidad entre distintos fenómenos económicos.</w:t>
      </w:r>
    </w:p>
    <w:p w:rsidR="00C446F4" w:rsidRDefault="00C446F4" w:rsidP="00C446F4">
      <w:pPr>
        <w:numPr>
          <w:ilvl w:val="0"/>
          <w:numId w:val="15"/>
        </w:numPr>
        <w:jc w:val="both"/>
      </w:pPr>
      <w:r>
        <w:t xml:space="preserve">Por tanto, no pueden ser utilizados para realizar simulaciones sobre lo que ocurriría en caso de plantearse un escenario concreto. </w:t>
      </w:r>
    </w:p>
    <w:p w:rsidR="00C446F4" w:rsidRDefault="00C446F4" w:rsidP="00C446F4">
      <w:pPr>
        <w:jc w:val="both"/>
      </w:pPr>
    </w:p>
    <w:p w:rsidR="00C446F4" w:rsidRDefault="00C446F4" w:rsidP="00C446F4">
      <w:pPr>
        <w:jc w:val="both"/>
      </w:pPr>
      <w:r>
        <w:lastRenderedPageBreak/>
        <w:t xml:space="preserve">Una vez visto esto, se pasa a establecer el modelo que servirá para predecir la tasa de ahorro de los hogares a corto plazo. </w:t>
      </w:r>
    </w:p>
    <w:p w:rsidR="00C446F4" w:rsidRDefault="00C446F4" w:rsidP="00C446F4">
      <w:pPr>
        <w:jc w:val="both"/>
      </w:pPr>
    </w:p>
    <w:p w:rsidR="00C446F4" w:rsidRDefault="00C446F4" w:rsidP="00C446F4">
      <w:pPr>
        <w:jc w:val="both"/>
      </w:pPr>
      <w:r>
        <w:t xml:space="preserve">Se ha especificado un modelo ARIMA para la tasa de ahorro de los hogares para el periodo 2000-2009, con periodicidad trimestral, puesto que estos modelos </w:t>
      </w:r>
      <w:proofErr w:type="spellStart"/>
      <w:r>
        <w:t>uniecuacionales</w:t>
      </w:r>
      <w:proofErr w:type="spellEnd"/>
      <w:r>
        <w:t xml:space="preserve"> son más propicios para la predicción a corto plazo (Garrido y Mañas, 2003). Siguiendo la metodología Box-Jenkins, se ha buscado la mejor especificación posible, de forma que el modelo obtenido se adecue a la serie original. Para ello, y tras el análisis de la serie original, se han realizado las siguientes transformaciones pertinentes:</w:t>
      </w:r>
    </w:p>
    <w:p w:rsidR="00C446F4" w:rsidRDefault="00C446F4" w:rsidP="00C446F4">
      <w:pPr>
        <w:jc w:val="both"/>
      </w:pPr>
    </w:p>
    <w:p w:rsidR="00C446F4" w:rsidRDefault="00C446F4" w:rsidP="00C446F4">
      <w:pPr>
        <w:numPr>
          <w:ilvl w:val="0"/>
          <w:numId w:val="16"/>
        </w:numPr>
        <w:jc w:val="both"/>
      </w:pPr>
      <w:r>
        <w:t>Transformación en varianza, para así evitar su volatilidad. La transformación se ha hecho con el logaritmo de la serie</w:t>
      </w:r>
      <w:r w:rsidR="00C33F95">
        <w:t>.</w:t>
      </w:r>
    </w:p>
    <w:p w:rsidR="00C446F4" w:rsidRDefault="00C446F4" w:rsidP="00C446F4">
      <w:pPr>
        <w:numPr>
          <w:ilvl w:val="0"/>
          <w:numId w:val="16"/>
        </w:numPr>
        <w:jc w:val="both"/>
      </w:pPr>
      <w:r>
        <w:t>Transformación en media, para eliminar la tendencia. La transformación ha supuesto calcular las primeras diferencias regulares y las primeras diferencias estacionales de la serie.</w:t>
      </w:r>
    </w:p>
    <w:p w:rsidR="00C446F4" w:rsidRDefault="00C446F4" w:rsidP="00C446F4">
      <w:pPr>
        <w:jc w:val="both"/>
      </w:pPr>
    </w:p>
    <w:p w:rsidR="00C446F4" w:rsidRDefault="00C446F4" w:rsidP="00C446F4">
      <w:pPr>
        <w:jc w:val="both"/>
      </w:pPr>
      <w:r>
        <w:t>Una vez se ha transformado la serie, se ha buscado encontrar el modelo más adaptado según las especificaciones teóricas. El modelo especificado en este trabajo ha sido el siguiente:</w:t>
      </w:r>
    </w:p>
    <w:p w:rsidR="00C446F4" w:rsidRDefault="00C446F4" w:rsidP="00C446F4">
      <w:pPr>
        <w:jc w:val="both"/>
      </w:pPr>
    </w:p>
    <w:p w:rsidR="00C446F4" w:rsidRDefault="00C446F4" w:rsidP="00C446F4">
      <w:pPr>
        <w:jc w:val="center"/>
      </w:pPr>
      <w:r w:rsidRPr="00394BC6">
        <w:rPr>
          <w:position w:val="-10"/>
        </w:rPr>
        <w:object w:dxaOrig="2980" w:dyaOrig="340">
          <v:shape id="_x0000_i1035" type="#_x0000_t75" style="width:149.25pt;height:17.25pt" o:ole="">
            <v:imagedata r:id="rId37" o:title=""/>
          </v:shape>
          <o:OLEObject Type="Embed" ProgID="Equation.3" ShapeID="_x0000_i1035" DrawAspect="Content" ObjectID="_1367993819" r:id="rId38"/>
        </w:object>
      </w:r>
      <w:r>
        <w:t xml:space="preserve">= </w:t>
      </w:r>
      <w:r w:rsidRPr="00394BC6">
        <w:rPr>
          <w:position w:val="-12"/>
        </w:rPr>
        <w:object w:dxaOrig="4880" w:dyaOrig="380">
          <v:shape id="_x0000_i1036" type="#_x0000_t75" style="width:243.75pt;height:18.75pt" o:ole="">
            <v:imagedata r:id="rId39" o:title=""/>
          </v:shape>
          <o:OLEObject Type="Embed" ProgID="Equation.3" ShapeID="_x0000_i1036" DrawAspect="Content" ObjectID="_1367993820" r:id="rId40"/>
        </w:object>
      </w:r>
    </w:p>
    <w:p w:rsidR="00C446F4" w:rsidRDefault="00C446F4" w:rsidP="00C446F4"/>
    <w:p w:rsidR="00C446F4" w:rsidRDefault="00C446F4" w:rsidP="00C446F4"/>
    <w:p w:rsidR="00C446F4" w:rsidRDefault="00C446F4" w:rsidP="00C446F4">
      <w:r>
        <w:t>El resultado de la estimación es el siguiente:</w:t>
      </w:r>
    </w:p>
    <w:p w:rsidR="00C446F4" w:rsidRDefault="00C446F4" w:rsidP="00C446F4"/>
    <w:p w:rsidR="00C446F4" w:rsidRDefault="00C446F4" w:rsidP="00C446F4">
      <w:pPr>
        <w:jc w:val="center"/>
        <w:rPr>
          <w:b/>
        </w:rPr>
      </w:pPr>
      <w:r w:rsidRPr="00206A19">
        <w:rPr>
          <w:b/>
        </w:rPr>
        <w:t xml:space="preserve">Cuadro </w:t>
      </w:r>
      <w:r>
        <w:rPr>
          <w:b/>
        </w:rPr>
        <w:t>4</w:t>
      </w:r>
      <w:r w:rsidRPr="00206A19">
        <w:rPr>
          <w:b/>
        </w:rPr>
        <w:t xml:space="preserve">. </w:t>
      </w:r>
      <w:r>
        <w:rPr>
          <w:b/>
        </w:rPr>
        <w:t>Modelo ARIMA estimado</w:t>
      </w:r>
    </w:p>
    <w:p w:rsidR="00C446F4" w:rsidRDefault="00C446F4" w:rsidP="00C446F4">
      <w:r>
        <w:rPr>
          <w:rFonts w:cs="Arial"/>
          <w:b/>
          <w:color w:val="000000"/>
          <w:sz w:val="16"/>
          <w:szCs w:val="16"/>
        </w:rPr>
        <w:t xml:space="preserve">      </w:t>
      </w:r>
      <w:r>
        <w:rPr>
          <w:rFonts w:cs="Arial"/>
          <w:b/>
          <w:color w:val="000000"/>
          <w:sz w:val="16"/>
          <w:szCs w:val="16"/>
        </w:rPr>
        <w:tab/>
        <w:t xml:space="preserve">  </w:t>
      </w:r>
      <w:r>
        <w:rPr>
          <w:noProof/>
          <w:lang w:val="es-ES_tradnl" w:eastAsia="es-ES_tradnl"/>
        </w:rPr>
        <mc:AlternateContent>
          <mc:Choice Requires="wps">
            <w:drawing>
              <wp:inline distT="0" distB="0" distL="0" distR="0" wp14:anchorId="01FC0087" wp14:editId="3BACEF1E">
                <wp:extent cx="4338320" cy="1828800"/>
                <wp:effectExtent l="5080" t="10795" r="9525" b="8255"/>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320" cy="1828800"/>
                        </a:xfrm>
                        <a:prstGeom prst="rect">
                          <a:avLst/>
                        </a:prstGeom>
                        <a:solidFill>
                          <a:srgbClr val="FFFFFF"/>
                        </a:solidFill>
                        <a:ln w="9525">
                          <a:solidFill>
                            <a:srgbClr val="000000"/>
                          </a:solidFill>
                          <a:miter lim="800000"/>
                          <a:headEnd/>
                          <a:tailEnd/>
                        </a:ln>
                      </wps:spPr>
                      <wps:txbx>
                        <w:txbxContent>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b/>
                                      <w:color w:val="000000"/>
                                      <w:sz w:val="16"/>
                                      <w:szCs w:val="16"/>
                                    </w:rPr>
                                  </w:pPr>
                                  <w:r w:rsidRPr="00D81C16">
                                    <w:rPr>
                                      <w:rFonts w:cs="Arial"/>
                                      <w:b/>
                                      <w:sz w:val="16"/>
                                      <w:szCs w:val="16"/>
                                    </w:rPr>
                                    <w:br/>
                                  </w:r>
                                  <w:r w:rsidRPr="00D81C16">
                                    <w:rPr>
                                      <w:rFonts w:cs="Arial"/>
                                      <w:b/>
                                      <w:color w:val="000000"/>
                                      <w:sz w:val="16"/>
                                      <w:szCs w:val="16"/>
                                    </w:rPr>
                                    <w:t>Variable</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b/>
                                      <w:color w:val="000000"/>
                                      <w:sz w:val="16"/>
                                      <w:szCs w:val="16"/>
                                    </w:rPr>
                                  </w:pPr>
                                  <w:proofErr w:type="spellStart"/>
                                  <w:r w:rsidRPr="00D81C16">
                                    <w:rPr>
                                      <w:rFonts w:cs="Arial"/>
                                      <w:b/>
                                      <w:color w:val="000000"/>
                                      <w:sz w:val="16"/>
                                      <w:szCs w:val="16"/>
                                    </w:rPr>
                                    <w:t>Coefficient</w:t>
                                  </w:r>
                                  <w:proofErr w:type="spellEnd"/>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b/>
                                      <w:color w:val="000000"/>
                                      <w:sz w:val="16"/>
                                      <w:szCs w:val="16"/>
                                    </w:rPr>
                                  </w:pPr>
                                  <w:proofErr w:type="spellStart"/>
                                  <w:r w:rsidRPr="00D81C16">
                                    <w:rPr>
                                      <w:rFonts w:cs="Arial"/>
                                      <w:b/>
                                      <w:color w:val="000000"/>
                                      <w:sz w:val="16"/>
                                      <w:szCs w:val="16"/>
                                    </w:rPr>
                                    <w:t>Std</w:t>
                                  </w:r>
                                  <w:proofErr w:type="spellEnd"/>
                                  <w:r w:rsidRPr="00D81C16">
                                    <w:rPr>
                                      <w:rFonts w:cs="Arial"/>
                                      <w:b/>
                                      <w:color w:val="000000"/>
                                      <w:sz w:val="16"/>
                                      <w:szCs w:val="16"/>
                                    </w:rPr>
                                    <w:t>. Error</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b/>
                                      <w:color w:val="000000"/>
                                      <w:sz w:val="16"/>
                                      <w:szCs w:val="16"/>
                                    </w:rPr>
                                  </w:pPr>
                                  <w:r w:rsidRPr="00D81C16">
                                    <w:rPr>
                                      <w:rFonts w:cs="Arial"/>
                                      <w:b/>
                                      <w:color w:val="000000"/>
                                      <w:sz w:val="16"/>
                                      <w:szCs w:val="16"/>
                                    </w:rPr>
                                    <w:t>t-</w:t>
                                  </w:r>
                                  <w:proofErr w:type="spellStart"/>
                                  <w:r w:rsidRPr="00D81C16">
                                    <w:rPr>
                                      <w:rFonts w:cs="Arial"/>
                                      <w:b/>
                                      <w:color w:val="000000"/>
                                      <w:sz w:val="16"/>
                                      <w:szCs w:val="16"/>
                                    </w:rPr>
                                    <w:t>Statistic</w:t>
                                  </w:r>
                                  <w:proofErr w:type="spellEnd"/>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b/>
                                      <w:color w:val="000000"/>
                                      <w:sz w:val="16"/>
                                      <w:szCs w:val="16"/>
                                    </w:rPr>
                                  </w:pPr>
                                  <w:proofErr w:type="spellStart"/>
                                  <w:r w:rsidRPr="00D81C16">
                                    <w:rPr>
                                      <w:rFonts w:cs="Arial"/>
                                      <w:b/>
                                      <w:color w:val="000000"/>
                                      <w:sz w:val="16"/>
                                      <w:szCs w:val="16"/>
                                    </w:rPr>
                                    <w:t>Prob</w:t>
                                  </w:r>
                                  <w:proofErr w:type="spellEnd"/>
                                  <w:r w:rsidRPr="00D81C16">
                                    <w:rPr>
                                      <w:rFonts w:cs="Arial"/>
                                      <w:b/>
                                      <w:color w:val="000000"/>
                                      <w:sz w:val="16"/>
                                      <w:szCs w:val="16"/>
                                    </w:rPr>
                                    <w:t>.</w:t>
                                  </w:r>
                                </w:p>
                              </w:tc>
                            </w:tr>
                            <w:tr w:rsidR="0044221C" w:rsidRPr="00D81C16" w:rsidTr="00D30D74">
                              <w:trPr>
                                <w:trHeight w:hRule="exact" w:val="90"/>
                                <w:jc w:val="center"/>
                              </w:trPr>
                              <w:tc>
                                <w:tcPr>
                                  <w:tcW w:w="2017" w:type="dxa"/>
                                  <w:tcBorders>
                                    <w:top w:val="nil"/>
                                    <w:left w:val="nil"/>
                                    <w:bottom w:val="double" w:sz="6" w:space="2" w:color="auto"/>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103" w:type="dxa"/>
                                  <w:tcBorders>
                                    <w:top w:val="nil"/>
                                    <w:left w:val="nil"/>
                                    <w:bottom w:val="double" w:sz="6" w:space="2" w:color="auto"/>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207" w:type="dxa"/>
                                  <w:tcBorders>
                                    <w:top w:val="nil"/>
                                    <w:left w:val="nil"/>
                                    <w:bottom w:val="double" w:sz="6" w:space="2" w:color="auto"/>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208" w:type="dxa"/>
                                  <w:tcBorders>
                                    <w:top w:val="nil"/>
                                    <w:left w:val="nil"/>
                                    <w:bottom w:val="double" w:sz="6" w:space="2" w:color="auto"/>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997" w:type="dxa"/>
                                  <w:tcBorders>
                                    <w:top w:val="nil"/>
                                    <w:left w:val="nil"/>
                                    <w:bottom w:val="double" w:sz="6" w:space="2" w:color="auto"/>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r>
                            <w:tr w:rsidR="0044221C" w:rsidRPr="00D81C16" w:rsidTr="00D30D74">
                              <w:trPr>
                                <w:trHeight w:hRule="exact" w:val="13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r>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r w:rsidRPr="00D81C16">
                                    <w:rPr>
                                      <w:rFonts w:cs="Arial"/>
                                      <w:color w:val="000000"/>
                                      <w:sz w:val="16"/>
                                      <w:szCs w:val="16"/>
                                    </w:rPr>
                                    <w:t>C</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0.008552</w:t>
                                  </w: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0.008992</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0.951073</w:t>
                                  </w: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0.3492</w:t>
                                  </w:r>
                                </w:p>
                              </w:tc>
                            </w:tr>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r w:rsidRPr="00D81C16">
                                    <w:rPr>
                                      <w:rFonts w:cs="Arial"/>
                                      <w:color w:val="000000"/>
                                      <w:sz w:val="16"/>
                                      <w:szCs w:val="16"/>
                                    </w:rPr>
                                    <w:t>MA(1)</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-0.688842</w:t>
                                  </w: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0.129386</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-5.323930</w:t>
                                  </w: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0.0000</w:t>
                                  </w:r>
                                </w:p>
                              </w:tc>
                            </w:tr>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r w:rsidRPr="00D81C16">
                                    <w:rPr>
                                      <w:rFonts w:cs="Arial"/>
                                      <w:color w:val="000000"/>
                                      <w:sz w:val="16"/>
                                      <w:szCs w:val="16"/>
                                    </w:rPr>
                                    <w:t>SMA(4)</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-0.621550</w:t>
                                  </w: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0.140057</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-4.437852</w:t>
                                  </w: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0.0001</w:t>
                                  </w:r>
                                </w:p>
                              </w:tc>
                            </w:tr>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r w:rsidRPr="00D81C16">
                                    <w:rPr>
                                      <w:rFonts w:cs="Arial"/>
                                      <w:color w:val="000000"/>
                                      <w:sz w:val="16"/>
                                      <w:szCs w:val="16"/>
                                    </w:rPr>
                                    <w:t>SMA(8)</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0.547142</w:t>
                                  </w: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0.141570</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3.864829</w:t>
                                  </w: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0.0006</w:t>
                                  </w:r>
                                </w:p>
                              </w:tc>
                            </w:tr>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r w:rsidRPr="00D81C16">
                                    <w:rPr>
                                      <w:rFonts w:cs="Arial"/>
                                      <w:color w:val="000000"/>
                                      <w:sz w:val="16"/>
                                      <w:szCs w:val="16"/>
                                    </w:rPr>
                                    <w:t>SMA(12)</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-0.849381</w:t>
                                  </w: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0.043134</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-19.69165</w:t>
                                  </w: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0.0000</w:t>
                                  </w:r>
                                </w:p>
                              </w:tc>
                            </w:tr>
                          </w:tbl>
                          <w:p w:rsidR="0044221C" w:rsidRDefault="0044221C" w:rsidP="00C446F4">
                            <w:pPr>
                              <w:rPr>
                                <w:rFonts w:cs="Arial"/>
                                <w:sz w:val="18"/>
                                <w:szCs w:val="18"/>
                              </w:rPr>
                            </w:pPr>
                          </w:p>
                          <w:p w:rsidR="0044221C" w:rsidRPr="008338DF" w:rsidRDefault="0044221C" w:rsidP="00C446F4">
                            <w:pPr>
                              <w:jc w:val="center"/>
                              <w:rPr>
                                <w:rFonts w:cs="Arial"/>
                                <w:b/>
                                <w:sz w:val="18"/>
                                <w:szCs w:val="18"/>
                                <w:lang w:val="pt-BR"/>
                              </w:rPr>
                            </w:pPr>
                            <w:r w:rsidRPr="008338DF">
                              <w:rPr>
                                <w:rFonts w:cs="Arial"/>
                                <w:b/>
                                <w:sz w:val="18"/>
                                <w:szCs w:val="18"/>
                                <w:lang w:val="pt-BR"/>
                              </w:rPr>
                              <w:t>R2 ajustado = 0,703</w:t>
                            </w:r>
                          </w:p>
                          <w:p w:rsidR="0044221C" w:rsidRPr="008338DF" w:rsidRDefault="0044221C" w:rsidP="00C446F4">
                            <w:pPr>
                              <w:jc w:val="center"/>
                              <w:rPr>
                                <w:b/>
                                <w:sz w:val="16"/>
                                <w:szCs w:val="16"/>
                                <w:lang w:val="de-DE"/>
                              </w:rPr>
                            </w:pPr>
                            <w:r w:rsidRPr="008338DF">
                              <w:rPr>
                                <w:rFonts w:cs="Arial"/>
                                <w:b/>
                                <w:sz w:val="18"/>
                                <w:szCs w:val="18"/>
                                <w:lang w:val="de-DE"/>
                              </w:rPr>
                              <w:t>Akaike Info Criterion = -0,028</w:t>
                            </w:r>
                            <w:r w:rsidRPr="008338DF">
                              <w:rPr>
                                <w:rFonts w:cs="Arial"/>
                                <w:b/>
                                <w:sz w:val="18"/>
                                <w:szCs w:val="18"/>
                                <w:lang w:val="de-DE"/>
                              </w:rPr>
                              <w:br/>
                              <w:t>Schwarz criterion = 0,194</w:t>
                            </w:r>
                          </w:p>
                        </w:txbxContent>
                      </wps:txbx>
                      <wps:bodyPr rot="0" vert="horz" wrap="square" lIns="91440" tIns="45720" rIns="91440" bIns="45720" anchor="t" anchorCtr="0" upright="1">
                        <a:noAutofit/>
                      </wps:bodyPr>
                    </wps:wsp>
                  </a:graphicData>
                </a:graphic>
              </wp:inline>
            </w:drawing>
          </mc:Choice>
          <mc:Fallback>
            <w:pict>
              <v:rect id="Rectángulo 26" o:spid="_x0000_s1030" style="width:341.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v3NQIAAFMEAAAOAAAAZHJzL2Uyb0RvYy54bWysVFGO0zAQ/UfiDpb/adq0XbpR09WqSxHS&#10;AisWDuA6TmLheMzYbbrchrNwMcZOt9sFvhD5sDye8fObNzNZXh06w/YKvQZb8slozJmyEiptm5J/&#10;+bx5teDMB2ErYcCqkj8oz69WL18se1eoHFowlUJGINYXvSt5G4IrsszLVnXCj8ApS84asBOBTGyy&#10;CkVP6J3J8vH4IusBK4cglfd0ejM4+Srh17WS4WNdexWYKTlxC2nFtG7jmq2WomhQuFbLIw3xDyw6&#10;oS09eoK6EUGwHeo/oDotETzUYSShy6CutVQpB8pmMv4tm/tWOJVyIXG8O8nk/x+s/LC/Q6arkucX&#10;nFnRUY0+kWo/f9hmZ4DRKUnUO19Q5L27w5ikd7cgv3pmYd0K26hrROhbJSoiNonx2bML0fB0lW37&#10;91DRA2IXIKl1qLGLgKQDO6SiPJyKog6BSTqcTaeLaU61k+SbLPLFYpzKloni8bpDH94q6FjclByJ&#10;f4IX+1sfIh1RPIYk+mB0tdHGJAOb7dog2wvqkE36UgaU5XmYsawv+eU8nyfkZz5/DjFO398gOh2o&#10;1Y3uSk4p0BeDRBF1e2OrtA9Cm2FPlI09Chm1G2oQDttDKtYs3o26bqF6IGURhs6mSaRNC/ids566&#10;uuT+206g4sy8s1Sdy8lsFscgGbP566grnnu25x5hJUGVPHA2bNdhGJ2dQ9209NIkqWHhmipa66T1&#10;E6sjfercVILjlMXROLdT1NO/YPULAAD//wMAUEsDBBQABgAIAAAAIQBvsny12wAAAAUBAAAPAAAA&#10;ZHJzL2Rvd25yZXYueG1sTI/BTsMwEETvSP0Haytxo3ZTqQohToWKisSxTS/cNvGSBOJ1FDtt4Osx&#10;XOCy0mhGM2/z3Wx7caHRd441rFcKBHHtTMeNhnN5uEtB+IBssHdMGj7Jw65Y3OSYGXflI11OoRGx&#10;hH2GGtoQhkxKX7dk0a/cQBy9NzdaDFGOjTQjXmO57WWi1FZa7DgutDjQvqX64zRZDVWXnPHrWD4r&#10;e3/YhJe5fJ9en7S+Xc6PDyACzeEvDD/4ER2KyFS5iY0XvYb4SPi90dummwREpSFJUwWyyOV/+uIb&#10;AAD//wMAUEsBAi0AFAAGAAgAAAAhALaDOJL+AAAA4QEAABMAAAAAAAAAAAAAAAAAAAAAAFtDb250&#10;ZW50X1R5cGVzXS54bWxQSwECLQAUAAYACAAAACEAOP0h/9YAAACUAQAACwAAAAAAAAAAAAAAAAAv&#10;AQAAX3JlbHMvLnJlbHNQSwECLQAUAAYACAAAACEAmSWb9zUCAABTBAAADgAAAAAAAAAAAAAAAAAu&#10;AgAAZHJzL2Uyb0RvYy54bWxQSwECLQAUAAYACAAAACEAb7J8tdsAAAAFAQAADwAAAAAAAAAAAAAA&#10;AACPBAAAZHJzL2Rvd25yZXYueG1sUEsFBgAAAAAEAAQA8wAAAJcFAAAAAA==&#10;">
                <v:textbox>
                  <w:txbxContent>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b/>
                                <w:color w:val="000000"/>
                                <w:sz w:val="16"/>
                                <w:szCs w:val="16"/>
                              </w:rPr>
                            </w:pPr>
                            <w:r w:rsidRPr="00D81C16">
                              <w:rPr>
                                <w:rFonts w:cs="Arial"/>
                                <w:b/>
                                <w:sz w:val="16"/>
                                <w:szCs w:val="16"/>
                              </w:rPr>
                              <w:br/>
                            </w:r>
                            <w:r w:rsidRPr="00D81C16">
                              <w:rPr>
                                <w:rFonts w:cs="Arial"/>
                                <w:b/>
                                <w:color w:val="000000"/>
                                <w:sz w:val="16"/>
                                <w:szCs w:val="16"/>
                              </w:rPr>
                              <w:t>Variable</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b/>
                                <w:color w:val="000000"/>
                                <w:sz w:val="16"/>
                                <w:szCs w:val="16"/>
                              </w:rPr>
                            </w:pPr>
                            <w:proofErr w:type="spellStart"/>
                            <w:r w:rsidRPr="00D81C16">
                              <w:rPr>
                                <w:rFonts w:cs="Arial"/>
                                <w:b/>
                                <w:color w:val="000000"/>
                                <w:sz w:val="16"/>
                                <w:szCs w:val="16"/>
                              </w:rPr>
                              <w:t>Coefficient</w:t>
                            </w:r>
                            <w:proofErr w:type="spellEnd"/>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b/>
                                <w:color w:val="000000"/>
                                <w:sz w:val="16"/>
                                <w:szCs w:val="16"/>
                              </w:rPr>
                            </w:pPr>
                            <w:proofErr w:type="spellStart"/>
                            <w:r w:rsidRPr="00D81C16">
                              <w:rPr>
                                <w:rFonts w:cs="Arial"/>
                                <w:b/>
                                <w:color w:val="000000"/>
                                <w:sz w:val="16"/>
                                <w:szCs w:val="16"/>
                              </w:rPr>
                              <w:t>Std</w:t>
                            </w:r>
                            <w:proofErr w:type="spellEnd"/>
                            <w:r w:rsidRPr="00D81C16">
                              <w:rPr>
                                <w:rFonts w:cs="Arial"/>
                                <w:b/>
                                <w:color w:val="000000"/>
                                <w:sz w:val="16"/>
                                <w:szCs w:val="16"/>
                              </w:rPr>
                              <w:t>. Error</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b/>
                                <w:color w:val="000000"/>
                                <w:sz w:val="16"/>
                                <w:szCs w:val="16"/>
                              </w:rPr>
                            </w:pPr>
                            <w:r w:rsidRPr="00D81C16">
                              <w:rPr>
                                <w:rFonts w:cs="Arial"/>
                                <w:b/>
                                <w:color w:val="000000"/>
                                <w:sz w:val="16"/>
                                <w:szCs w:val="16"/>
                              </w:rPr>
                              <w:t>t-</w:t>
                            </w:r>
                            <w:proofErr w:type="spellStart"/>
                            <w:r w:rsidRPr="00D81C16">
                              <w:rPr>
                                <w:rFonts w:cs="Arial"/>
                                <w:b/>
                                <w:color w:val="000000"/>
                                <w:sz w:val="16"/>
                                <w:szCs w:val="16"/>
                              </w:rPr>
                              <w:t>Statistic</w:t>
                            </w:r>
                            <w:proofErr w:type="spellEnd"/>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b/>
                                <w:color w:val="000000"/>
                                <w:sz w:val="16"/>
                                <w:szCs w:val="16"/>
                              </w:rPr>
                            </w:pPr>
                            <w:proofErr w:type="spellStart"/>
                            <w:r w:rsidRPr="00D81C16">
                              <w:rPr>
                                <w:rFonts w:cs="Arial"/>
                                <w:b/>
                                <w:color w:val="000000"/>
                                <w:sz w:val="16"/>
                                <w:szCs w:val="16"/>
                              </w:rPr>
                              <w:t>Prob</w:t>
                            </w:r>
                            <w:proofErr w:type="spellEnd"/>
                            <w:r w:rsidRPr="00D81C16">
                              <w:rPr>
                                <w:rFonts w:cs="Arial"/>
                                <w:b/>
                                <w:color w:val="000000"/>
                                <w:sz w:val="16"/>
                                <w:szCs w:val="16"/>
                              </w:rPr>
                              <w:t>.</w:t>
                            </w:r>
                          </w:p>
                        </w:tc>
                      </w:tr>
                      <w:tr w:rsidR="0044221C" w:rsidRPr="00D81C16" w:rsidTr="00D30D74">
                        <w:trPr>
                          <w:trHeight w:hRule="exact" w:val="90"/>
                          <w:jc w:val="center"/>
                        </w:trPr>
                        <w:tc>
                          <w:tcPr>
                            <w:tcW w:w="2017" w:type="dxa"/>
                            <w:tcBorders>
                              <w:top w:val="nil"/>
                              <w:left w:val="nil"/>
                              <w:bottom w:val="double" w:sz="6" w:space="2" w:color="auto"/>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103" w:type="dxa"/>
                            <w:tcBorders>
                              <w:top w:val="nil"/>
                              <w:left w:val="nil"/>
                              <w:bottom w:val="double" w:sz="6" w:space="2" w:color="auto"/>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207" w:type="dxa"/>
                            <w:tcBorders>
                              <w:top w:val="nil"/>
                              <w:left w:val="nil"/>
                              <w:bottom w:val="double" w:sz="6" w:space="2" w:color="auto"/>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208" w:type="dxa"/>
                            <w:tcBorders>
                              <w:top w:val="nil"/>
                              <w:left w:val="nil"/>
                              <w:bottom w:val="double" w:sz="6" w:space="2" w:color="auto"/>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997" w:type="dxa"/>
                            <w:tcBorders>
                              <w:top w:val="nil"/>
                              <w:left w:val="nil"/>
                              <w:bottom w:val="double" w:sz="6" w:space="2" w:color="auto"/>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r>
                      <w:tr w:rsidR="0044221C" w:rsidRPr="00D81C16" w:rsidTr="00D30D74">
                        <w:trPr>
                          <w:trHeight w:hRule="exact" w:val="13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p>
                        </w:tc>
                      </w:tr>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r w:rsidRPr="00D81C16">
                              <w:rPr>
                                <w:rFonts w:cs="Arial"/>
                                <w:color w:val="000000"/>
                                <w:sz w:val="16"/>
                                <w:szCs w:val="16"/>
                              </w:rPr>
                              <w:t>C</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0.008552</w:t>
                            </w: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0.008992</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0.951073</w:t>
                            </w: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0.3492</w:t>
                            </w:r>
                          </w:p>
                        </w:tc>
                      </w:tr>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r w:rsidRPr="00D81C16">
                              <w:rPr>
                                <w:rFonts w:cs="Arial"/>
                                <w:color w:val="000000"/>
                                <w:sz w:val="16"/>
                                <w:szCs w:val="16"/>
                              </w:rPr>
                              <w:t>MA(1)</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-0.688842</w:t>
                            </w: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0.129386</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-5.323930</w:t>
                            </w: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0.0000</w:t>
                            </w:r>
                          </w:p>
                        </w:tc>
                      </w:tr>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r w:rsidRPr="00D81C16">
                              <w:rPr>
                                <w:rFonts w:cs="Arial"/>
                                <w:color w:val="000000"/>
                                <w:sz w:val="16"/>
                                <w:szCs w:val="16"/>
                              </w:rPr>
                              <w:t>SMA(4)</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-0.621550</w:t>
                            </w: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0.140057</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-4.437852</w:t>
                            </w: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0.0001</w:t>
                            </w:r>
                          </w:p>
                        </w:tc>
                      </w:tr>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r w:rsidRPr="00D81C16">
                              <w:rPr>
                                <w:rFonts w:cs="Arial"/>
                                <w:color w:val="000000"/>
                                <w:sz w:val="16"/>
                                <w:szCs w:val="16"/>
                              </w:rPr>
                              <w:t>SMA(8)</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0.547142</w:t>
                            </w: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0.141570</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3.864829</w:t>
                            </w: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0.0006</w:t>
                            </w:r>
                          </w:p>
                        </w:tc>
                      </w:tr>
                      <w:tr w:rsidR="0044221C" w:rsidRPr="00D81C16" w:rsidTr="00D30D74">
                        <w:trPr>
                          <w:trHeight w:val="225"/>
                          <w:jc w:val="center"/>
                        </w:trPr>
                        <w:tc>
                          <w:tcPr>
                            <w:tcW w:w="2017" w:type="dxa"/>
                            <w:tcBorders>
                              <w:top w:val="nil"/>
                              <w:left w:val="nil"/>
                              <w:bottom w:val="nil"/>
                              <w:right w:val="nil"/>
                            </w:tcBorders>
                            <w:vAlign w:val="bottom"/>
                          </w:tcPr>
                          <w:p w:rsidR="0044221C" w:rsidRPr="00D81C16" w:rsidRDefault="0044221C" w:rsidP="00D30D74">
                            <w:pPr>
                              <w:autoSpaceDE w:val="0"/>
                              <w:autoSpaceDN w:val="0"/>
                              <w:adjustRightInd w:val="0"/>
                              <w:jc w:val="center"/>
                              <w:rPr>
                                <w:rFonts w:cs="Arial"/>
                                <w:color w:val="000000"/>
                                <w:sz w:val="16"/>
                                <w:szCs w:val="16"/>
                              </w:rPr>
                            </w:pPr>
                            <w:r w:rsidRPr="00D81C16">
                              <w:rPr>
                                <w:rFonts w:cs="Arial"/>
                                <w:color w:val="000000"/>
                                <w:sz w:val="16"/>
                                <w:szCs w:val="16"/>
                              </w:rPr>
                              <w:t>SMA(12)</w:t>
                            </w:r>
                          </w:p>
                        </w:tc>
                        <w:tc>
                          <w:tcPr>
                            <w:tcW w:w="1103"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-0.849381</w:t>
                            </w:r>
                          </w:p>
                        </w:tc>
                        <w:tc>
                          <w:tcPr>
                            <w:tcW w:w="120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0.043134</w:t>
                            </w:r>
                          </w:p>
                        </w:tc>
                        <w:tc>
                          <w:tcPr>
                            <w:tcW w:w="1208"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-19.69165</w:t>
                            </w:r>
                          </w:p>
                        </w:tc>
                        <w:tc>
                          <w:tcPr>
                            <w:tcW w:w="997" w:type="dxa"/>
                            <w:tcBorders>
                              <w:top w:val="nil"/>
                              <w:left w:val="nil"/>
                              <w:bottom w:val="nil"/>
                              <w:right w:val="nil"/>
                            </w:tcBorders>
                            <w:vAlign w:val="bottom"/>
                          </w:tcPr>
                          <w:p w:rsidR="0044221C" w:rsidRPr="00D81C16" w:rsidRDefault="0044221C" w:rsidP="00D30D74">
                            <w:pPr>
                              <w:autoSpaceDE w:val="0"/>
                              <w:autoSpaceDN w:val="0"/>
                              <w:adjustRightInd w:val="0"/>
                              <w:ind w:right="10"/>
                              <w:jc w:val="center"/>
                              <w:rPr>
                                <w:rFonts w:cs="Arial"/>
                                <w:color w:val="000000"/>
                                <w:sz w:val="16"/>
                                <w:szCs w:val="16"/>
                              </w:rPr>
                            </w:pPr>
                            <w:r w:rsidRPr="00D81C16">
                              <w:rPr>
                                <w:rFonts w:cs="Arial"/>
                                <w:color w:val="000000"/>
                                <w:sz w:val="16"/>
                                <w:szCs w:val="16"/>
                              </w:rPr>
                              <w:t>0.0000</w:t>
                            </w:r>
                          </w:p>
                        </w:tc>
                      </w:tr>
                    </w:tbl>
                    <w:p w:rsidR="0044221C" w:rsidRDefault="0044221C" w:rsidP="00C446F4">
                      <w:pPr>
                        <w:rPr>
                          <w:rFonts w:cs="Arial"/>
                          <w:sz w:val="18"/>
                          <w:szCs w:val="18"/>
                        </w:rPr>
                      </w:pPr>
                    </w:p>
                    <w:p w:rsidR="0044221C" w:rsidRPr="008338DF" w:rsidRDefault="0044221C" w:rsidP="00C446F4">
                      <w:pPr>
                        <w:jc w:val="center"/>
                        <w:rPr>
                          <w:rFonts w:cs="Arial"/>
                          <w:b/>
                          <w:sz w:val="18"/>
                          <w:szCs w:val="18"/>
                          <w:lang w:val="pt-BR"/>
                        </w:rPr>
                      </w:pPr>
                      <w:r w:rsidRPr="008338DF">
                        <w:rPr>
                          <w:rFonts w:cs="Arial"/>
                          <w:b/>
                          <w:sz w:val="18"/>
                          <w:szCs w:val="18"/>
                          <w:lang w:val="pt-BR"/>
                        </w:rPr>
                        <w:t>R2 ajustado = 0,703</w:t>
                      </w:r>
                    </w:p>
                    <w:p w:rsidR="0044221C" w:rsidRPr="008338DF" w:rsidRDefault="0044221C" w:rsidP="00C446F4">
                      <w:pPr>
                        <w:jc w:val="center"/>
                        <w:rPr>
                          <w:b/>
                          <w:sz w:val="16"/>
                          <w:szCs w:val="16"/>
                          <w:lang w:val="de-DE"/>
                        </w:rPr>
                      </w:pPr>
                      <w:r w:rsidRPr="008338DF">
                        <w:rPr>
                          <w:rFonts w:cs="Arial"/>
                          <w:b/>
                          <w:sz w:val="18"/>
                          <w:szCs w:val="18"/>
                          <w:lang w:val="de-DE"/>
                        </w:rPr>
                        <w:t>Akaike Info Criterion = -0,028</w:t>
                      </w:r>
                      <w:r w:rsidRPr="008338DF">
                        <w:rPr>
                          <w:rFonts w:cs="Arial"/>
                          <w:b/>
                          <w:sz w:val="18"/>
                          <w:szCs w:val="18"/>
                          <w:lang w:val="de-DE"/>
                        </w:rPr>
                        <w:br/>
                        <w:t>Schwarz criterion = 0,194</w:t>
                      </w:r>
                    </w:p>
                  </w:txbxContent>
                </v:textbox>
                <w10:anchorlock/>
              </v:rect>
            </w:pict>
          </mc:Fallback>
        </mc:AlternateContent>
      </w:r>
    </w:p>
    <w:p w:rsidR="00C446F4" w:rsidRPr="006860B0" w:rsidRDefault="00C446F4" w:rsidP="00C446F4">
      <w:pPr>
        <w:jc w:val="center"/>
        <w:rPr>
          <w:b/>
          <w:sz w:val="20"/>
          <w:szCs w:val="22"/>
        </w:rPr>
      </w:pPr>
      <w:r w:rsidRPr="006860B0">
        <w:rPr>
          <w:b/>
          <w:sz w:val="20"/>
          <w:szCs w:val="22"/>
        </w:rPr>
        <w:t>Fuente: Elaboración propia</w:t>
      </w:r>
    </w:p>
    <w:p w:rsidR="006860B0" w:rsidRPr="00D81C16" w:rsidRDefault="006860B0" w:rsidP="00C446F4">
      <w:pPr>
        <w:jc w:val="center"/>
        <w:rPr>
          <w:szCs w:val="22"/>
        </w:rPr>
      </w:pPr>
    </w:p>
    <w:p w:rsidR="00C446F4" w:rsidRDefault="00C446F4" w:rsidP="00C446F4">
      <w:pPr>
        <w:jc w:val="both"/>
      </w:pPr>
      <w:r>
        <w:t xml:space="preserve">Este modelo cumple los requisitos para que sea representativo (Pulido y Pérez, 2001; Otero, 1993). </w:t>
      </w:r>
    </w:p>
    <w:p w:rsidR="00C446F4" w:rsidRDefault="00C446F4" w:rsidP="00C446F4"/>
    <w:p w:rsidR="00C446F4" w:rsidRDefault="00C446F4" w:rsidP="00C446F4">
      <w:pPr>
        <w:numPr>
          <w:ilvl w:val="0"/>
          <w:numId w:val="17"/>
        </w:numPr>
        <w:jc w:val="both"/>
      </w:pPr>
      <w:r>
        <w:t>No hay raíces unitarias.</w:t>
      </w:r>
    </w:p>
    <w:p w:rsidR="00C446F4" w:rsidRDefault="00C446F4" w:rsidP="00C446F4">
      <w:pPr>
        <w:numPr>
          <w:ilvl w:val="0"/>
          <w:numId w:val="17"/>
        </w:numPr>
        <w:jc w:val="both"/>
      </w:pPr>
      <w:r>
        <w:t>Los parámetros asociados al MA son todos significativos</w:t>
      </w:r>
    </w:p>
    <w:p w:rsidR="00C446F4" w:rsidRDefault="00C446F4" w:rsidP="00C446F4">
      <w:pPr>
        <w:numPr>
          <w:ilvl w:val="0"/>
          <w:numId w:val="17"/>
        </w:numPr>
        <w:jc w:val="both"/>
      </w:pPr>
      <w:r>
        <w:t xml:space="preserve">Los residuos de la validación son ruido blanco. Esta propiedad se ha comprobado a través del estudio de la función de </w:t>
      </w:r>
      <w:proofErr w:type="spellStart"/>
      <w:r>
        <w:t>autocorrelación</w:t>
      </w:r>
      <w:proofErr w:type="spellEnd"/>
      <w:r>
        <w:t xml:space="preserve"> simple, del estadístico </w:t>
      </w:r>
      <w:proofErr w:type="spellStart"/>
      <w:r>
        <w:t>Ljung</w:t>
      </w:r>
      <w:proofErr w:type="spellEnd"/>
      <w:r>
        <w:t xml:space="preserve">-Box (se ha aceptado la hipótesis nula, en la que todos los coeficientes son 0 estadísticamente) y de la exigencia de normalidad a través del estadístico de </w:t>
      </w:r>
      <w:proofErr w:type="spellStart"/>
      <w:r>
        <w:t>Jarque-Bera</w:t>
      </w:r>
      <w:proofErr w:type="spellEnd"/>
      <w:r>
        <w:t xml:space="preserve"> (aceptando la hipótesis nula de normalidad). </w:t>
      </w:r>
    </w:p>
    <w:p w:rsidR="00C446F4" w:rsidRDefault="00C446F4">
      <w:pPr>
        <w:rPr>
          <w:b/>
        </w:rPr>
      </w:pPr>
    </w:p>
    <w:p w:rsidR="00C446F4" w:rsidRDefault="00C446F4">
      <w:pPr>
        <w:rPr>
          <w:b/>
        </w:rPr>
      </w:pPr>
    </w:p>
    <w:p w:rsidR="00C446F4" w:rsidRDefault="00C446F4">
      <w:pPr>
        <w:rPr>
          <w:b/>
        </w:rPr>
      </w:pPr>
    </w:p>
    <w:p w:rsidR="00C446F4" w:rsidRDefault="00C446F4">
      <w:pPr>
        <w:rPr>
          <w:b/>
        </w:rPr>
      </w:pPr>
    </w:p>
    <w:p w:rsidR="00F55FB3" w:rsidRPr="006860B0" w:rsidRDefault="006860B0" w:rsidP="006860B0">
      <w:pPr>
        <w:jc w:val="both"/>
      </w:pPr>
      <w:r w:rsidRPr="006860B0">
        <w:lastRenderedPageBreak/>
        <w:t xml:space="preserve">El modelo </w:t>
      </w:r>
      <w:r>
        <w:t xml:space="preserve">especificado permite extraer una conclusión muy interesante a la hora de explicar la evolución de la tasa de ahorro de los hogares. Las decisiones de ahorro no dependen de la decisión de ahorrar en periodos anteriores, es decir, que hoy una familia destine mayor renta al ahorro no está influido por la decisión de ahorrar el trimestre anterior, sino por las innovaciones que se dan en la economía, los factores externos que afectan a la tasa de ahorro de los hogares. Por </w:t>
      </w:r>
      <w:r w:rsidR="00172DA5">
        <w:t>ello en</w:t>
      </w:r>
      <w:r>
        <w:t xml:space="preserve"> el modelo especificado sólo se han obtenido como significativos coeficientes MA. También es interesante señalar la existencia de estacionalidad en la serie, es decir, la decisión de ahorrar de las familias cambia en función del trimestre en que se encuentren. </w:t>
      </w:r>
    </w:p>
    <w:p w:rsidR="008136AB" w:rsidRPr="00016950" w:rsidRDefault="008136AB" w:rsidP="00331C39">
      <w:pPr>
        <w:pStyle w:val="Ttulo1"/>
        <w:numPr>
          <w:ilvl w:val="0"/>
          <w:numId w:val="18"/>
        </w:numPr>
      </w:pPr>
      <w:bookmarkStart w:id="15" w:name="_Toc291939267"/>
      <w:r w:rsidRPr="00016950">
        <w:t>CONSECUENCIAS DE LA EVOLUCIÓN DE LA TASA DE AHORRO DE LOS HOGARES</w:t>
      </w:r>
      <w:bookmarkEnd w:id="15"/>
    </w:p>
    <w:p w:rsidR="008136AB" w:rsidRDefault="008136AB"/>
    <w:p w:rsidR="00157A0C" w:rsidRDefault="00157A0C" w:rsidP="003A23D5">
      <w:pPr>
        <w:jc w:val="both"/>
      </w:pPr>
      <w:r>
        <w:t xml:space="preserve">El fuerte incremento de la tasa de ahorro de los hogares españoles no es un hecho aislado del que sólo se deban conocer las causas. Todo lo contrario, estas decisiones de las familias tienen una fuerte influencia sobre otras variables económicas, tanto desde el punto de vista del propio hogar, como de las empresas y de la economía en general. Por tanto, es necesario saber qué consecuencias tiene la evolución de la tasa de ahorro de los hogares sobre otras magnitudes económicas, para lo cual se destina este último apartado del trabajo. </w:t>
      </w:r>
    </w:p>
    <w:p w:rsidR="00985781" w:rsidRPr="00F11DD0" w:rsidRDefault="00985781" w:rsidP="00331C39">
      <w:pPr>
        <w:pStyle w:val="Ttulo2"/>
        <w:numPr>
          <w:ilvl w:val="1"/>
          <w:numId w:val="18"/>
        </w:numPr>
      </w:pPr>
      <w:bookmarkStart w:id="16" w:name="_Toc291939268"/>
      <w:r w:rsidRPr="00F11DD0">
        <w:t>Déficit por cuenta corriente de la Balanza de Pagos</w:t>
      </w:r>
      <w:bookmarkEnd w:id="16"/>
    </w:p>
    <w:p w:rsidR="00985781" w:rsidRDefault="00985781" w:rsidP="00985781">
      <w:pPr>
        <w:jc w:val="both"/>
      </w:pPr>
    </w:p>
    <w:p w:rsidR="00985781" w:rsidRDefault="00985781" w:rsidP="00985781">
      <w:pPr>
        <w:jc w:val="both"/>
      </w:pPr>
      <w:r>
        <w:t>La necesidad de financiación de un país es una cuestión de gran importancia. Cuando el ahorro generado por los sectores de una economía no es suficiente como parta hacer frente a la inversión realizada, surge esta necesidad de financiación, la cual se representa a través de la suma de los saldos de la Balanza por Cuenta Corriente y la de Capital, que registra principalmente las transferencias procedentes de la Unión Europea para financiar la inversión.</w:t>
      </w:r>
    </w:p>
    <w:p w:rsidR="00985781" w:rsidRDefault="00985781" w:rsidP="00985781">
      <w:pPr>
        <w:jc w:val="both"/>
      </w:pPr>
    </w:p>
    <w:p w:rsidR="003A23D5" w:rsidRDefault="00985781" w:rsidP="00985781">
      <w:pPr>
        <w:jc w:val="center"/>
        <w:rPr>
          <w:b/>
        </w:rPr>
      </w:pPr>
      <w:r w:rsidRPr="00CE2ECE">
        <w:rPr>
          <w:b/>
        </w:rPr>
        <w:t>Gráfico</w:t>
      </w:r>
      <w:r>
        <w:rPr>
          <w:b/>
        </w:rPr>
        <w:t xml:space="preserve"> </w:t>
      </w:r>
      <w:r w:rsidR="003A23D5">
        <w:rPr>
          <w:b/>
        </w:rPr>
        <w:t>10</w:t>
      </w:r>
      <w:r w:rsidRPr="00CE2ECE">
        <w:rPr>
          <w:b/>
        </w:rPr>
        <w:t>.</w:t>
      </w:r>
      <w:r w:rsidR="003A23D5">
        <w:rPr>
          <w:b/>
        </w:rPr>
        <w:t xml:space="preserve"> Saldo por cuenta corriente y de Capital de la Balanza de Pagos </w:t>
      </w:r>
    </w:p>
    <w:p w:rsidR="00985781" w:rsidRDefault="003A23D5" w:rsidP="00985781">
      <w:pPr>
        <w:jc w:val="center"/>
        <w:rPr>
          <w:b/>
        </w:rPr>
      </w:pPr>
      <w:r>
        <w:rPr>
          <w:b/>
        </w:rPr>
        <w:t>(2000-2009)</w:t>
      </w:r>
      <w:r w:rsidR="00985781" w:rsidRPr="00CE2ECE">
        <w:rPr>
          <w:b/>
        </w:rPr>
        <w:t xml:space="preserve"> </w:t>
      </w:r>
      <w:r w:rsidR="00985781">
        <w:rPr>
          <w:b/>
        </w:rPr>
        <w:t xml:space="preserve"> </w:t>
      </w:r>
    </w:p>
    <w:p w:rsidR="00985781" w:rsidRDefault="00985781" w:rsidP="00985781">
      <w:pPr>
        <w:jc w:val="both"/>
      </w:pPr>
      <w:r>
        <w:rPr>
          <w:noProof/>
          <w:lang w:val="es-ES_tradnl" w:eastAsia="es-ES_tradnl"/>
        </w:rPr>
        <w:drawing>
          <wp:inline distT="0" distB="0" distL="0" distR="0" wp14:anchorId="745E34F4" wp14:editId="5D226A6D">
            <wp:extent cx="5443032" cy="1781175"/>
            <wp:effectExtent l="0" t="0" r="571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1">
                      <a:extLst>
                        <a:ext uri="{28A0092B-C50C-407E-A947-70E740481C1C}">
                          <a14:useLocalDpi xmlns:a14="http://schemas.microsoft.com/office/drawing/2010/main" val="0"/>
                        </a:ext>
                      </a:extLst>
                    </a:blip>
                    <a:srcRect l="2297" t="23362" r="1049" b="3278"/>
                    <a:stretch/>
                  </pic:blipFill>
                  <pic:spPr bwMode="auto">
                    <a:xfrm>
                      <a:off x="0" y="0"/>
                      <a:ext cx="5443032" cy="1781175"/>
                    </a:xfrm>
                    <a:prstGeom prst="rect">
                      <a:avLst/>
                    </a:prstGeom>
                    <a:noFill/>
                    <a:ln>
                      <a:noFill/>
                    </a:ln>
                    <a:extLst>
                      <a:ext uri="{53640926-AAD7-44D8-BBD7-CCE9431645EC}">
                        <a14:shadowObscured xmlns:a14="http://schemas.microsoft.com/office/drawing/2010/main"/>
                      </a:ext>
                    </a:extLst>
                  </pic:spPr>
                </pic:pic>
              </a:graphicData>
            </a:graphic>
          </wp:inline>
        </w:drawing>
      </w:r>
    </w:p>
    <w:p w:rsidR="00985781" w:rsidRPr="003A23D5" w:rsidRDefault="00985781" w:rsidP="00985781">
      <w:pPr>
        <w:jc w:val="center"/>
        <w:rPr>
          <w:b/>
          <w:sz w:val="20"/>
          <w:szCs w:val="22"/>
        </w:rPr>
      </w:pPr>
      <w:r w:rsidRPr="003A23D5">
        <w:rPr>
          <w:b/>
          <w:sz w:val="20"/>
          <w:szCs w:val="22"/>
        </w:rPr>
        <w:t>Fuente: Elaboración propia. Datos INE y Balanza de Pagos del Banco de España</w:t>
      </w:r>
    </w:p>
    <w:p w:rsidR="00985781" w:rsidRDefault="00985781" w:rsidP="00985781">
      <w:pPr>
        <w:jc w:val="both"/>
      </w:pPr>
    </w:p>
    <w:p w:rsidR="00985781" w:rsidRDefault="00985781" w:rsidP="00985781">
      <w:pPr>
        <w:jc w:val="both"/>
      </w:pPr>
      <w:r>
        <w:t xml:space="preserve">En el gráfico </w:t>
      </w:r>
      <w:r w:rsidR="003A23D5">
        <w:t xml:space="preserve">10 </w:t>
      </w:r>
      <w:r>
        <w:t xml:space="preserve">se puede ver la evolución del saldo de la Balanza por Cuenta Corriente desde 2000. El déficit por cuenta corriente se explica, siguiendo a </w:t>
      </w:r>
      <w:proofErr w:type="spellStart"/>
      <w:r>
        <w:t>Requeijo</w:t>
      </w:r>
      <w:proofErr w:type="spellEnd"/>
      <w:r>
        <w:t xml:space="preserve"> (2009) durante estos años por la superioridad de la inversión nacional sobre el ahorro nacional. Las razones de este desequilibrio han sido, en primer lugar, el largo periodo expansivo ente 1996 y 2997, con un crecimiento anual medio del 3,7%, que ha descansado sobre la demanda interna, principalmente de inversión en vivienda y de gasto en consumo. Este tipo de crecimiento ha generado un continuo déficit corriente que ha requerido financiación a través del ahorro externo. Por tanto, hasta la crisis  </w:t>
      </w:r>
      <w:r>
        <w:lastRenderedPageBreak/>
        <w:t xml:space="preserve">económica, el origen de los desequilibrios ha sido el sector privado a través principalmente de la construcción de viviendas. </w:t>
      </w:r>
    </w:p>
    <w:p w:rsidR="00985781" w:rsidRDefault="00985781" w:rsidP="00985781">
      <w:pPr>
        <w:jc w:val="both"/>
      </w:pPr>
    </w:p>
    <w:p w:rsidR="00985781" w:rsidRDefault="00985781" w:rsidP="00985781">
      <w:pPr>
        <w:jc w:val="both"/>
      </w:pPr>
      <w:r>
        <w:t xml:space="preserve">Durante estos años, la brecha entre la inversión y el ahorro provocó la importante necesidad de financiación de la economía española. Sin embargo, el cambio de tendencia experimentado </w:t>
      </w:r>
      <w:r w:rsidR="00CF76B2">
        <w:t>por</w:t>
      </w:r>
      <w:r>
        <w:t xml:space="preserve"> el ahorro de las familias estudiado en este trabajo ha tenido consecuencias positivas sobre el déficit por cuenta corriente, que, como se ve en el gráfico anterior, ha disminuido considerablemente desde 2007. Ello se explica en parte por la caída de las importaciones, que en 2009 fue del 26,2%, muy superior al 15,9% registrado por las exportaciones (La Caixa, 2010).  Además, el incremento del ahorro familiar ha provocado menor necesidad de financiación exterior, lo que reduce también el déficit por cuenta corriente y por tanto las necesidades de financiación de la economía española. </w:t>
      </w:r>
    </w:p>
    <w:p w:rsidR="00985781" w:rsidRDefault="00985781" w:rsidP="00985781">
      <w:pPr>
        <w:jc w:val="both"/>
      </w:pPr>
    </w:p>
    <w:p w:rsidR="00985781" w:rsidRPr="00985781" w:rsidRDefault="00F0472B" w:rsidP="00331C39">
      <w:pPr>
        <w:pStyle w:val="Ttulo2"/>
        <w:numPr>
          <w:ilvl w:val="1"/>
          <w:numId w:val="18"/>
        </w:numPr>
      </w:pPr>
      <w:bookmarkStart w:id="17" w:name="_Toc291939269"/>
      <w:r>
        <w:t>Nivel de precios y competitividad de la economía española</w:t>
      </w:r>
      <w:bookmarkEnd w:id="17"/>
    </w:p>
    <w:p w:rsidR="00985781" w:rsidRDefault="00985781" w:rsidP="00985781">
      <w:pPr>
        <w:jc w:val="both"/>
      </w:pPr>
    </w:p>
    <w:p w:rsidR="00985781" w:rsidRDefault="00985781" w:rsidP="00985781">
      <w:pPr>
        <w:jc w:val="both"/>
      </w:pPr>
      <w:r>
        <w:t xml:space="preserve">El nivel de precios es una variable fundamental para la capacidad de competir de un país. Sin embargo, en un </w:t>
      </w:r>
      <w:r w:rsidR="00ED7CD9">
        <w:t>entorno</w:t>
      </w:r>
      <w:r>
        <w:t xml:space="preserve"> globalizado, no sólo hay que mirar el nivel de precios del país, sino su diferencial con los países vecinos, siendo en el caso de España principalmente los países miembros de la Unión Europea. Esto es así fundamentalmente por tres razones (Pérez y otros, 2004). En primer lugar, porque es posible que un país más inflacionista tenga una situación de partida con precios más bajos que sus competidores, aunque si se mantiene la senda inflacionista, esta ventaja se irá reduciendo paulatinamente.</w:t>
      </w:r>
      <w:r w:rsidR="00ED7CD9">
        <w:t xml:space="preserve"> En segundo lugar, es posible q</w:t>
      </w:r>
      <w:r>
        <w:t xml:space="preserve">ue la evolución del tipo de cambio, al depreciarse, compense los efectos de la inflación diferencial sobre la competitividad. Por último, los productos compiten en el mercado gracias a otras características diferenciadoras, como la calidad, adaptación a las necesidades del consumidor etc. </w:t>
      </w:r>
    </w:p>
    <w:p w:rsidR="00985781" w:rsidRDefault="00985781" w:rsidP="00985781">
      <w:pPr>
        <w:jc w:val="both"/>
      </w:pPr>
    </w:p>
    <w:p w:rsidR="00985781" w:rsidRDefault="00985781" w:rsidP="00985781">
      <w:pPr>
        <w:jc w:val="both"/>
      </w:pPr>
      <w:r>
        <w:t xml:space="preserve">En el caso de España (Pérez y otros, 2004), hay que tener en cuenta sus circunstancias particulares de pertenecer a la Unión Monetaria, y por tanto, de no poder realizar devaluaciones de su moneda o depreciar el tipo de cambio. Por otro lado, hay que tener en cuenta no sólo la situación de la inflación, sino los niveles de precios, puesto que en países como España, con menor nivel de renta, la tasa de inflación es superior, pero los niveles de precios menores. En tercer lugar hay que tener en cuenta la dificultad de medición estadística de los niveles de precios. Por último, como se ha mencionado anteriormente, hay que tener en cuenta otras características distintas de los productos (calidad, prestaciones etc.). </w:t>
      </w:r>
    </w:p>
    <w:p w:rsidR="00985781" w:rsidRDefault="00985781" w:rsidP="00985781">
      <w:pPr>
        <w:jc w:val="both"/>
      </w:pPr>
    </w:p>
    <w:p w:rsidR="00985781" w:rsidRDefault="00985781" w:rsidP="00985781">
      <w:pPr>
        <w:jc w:val="center"/>
        <w:rPr>
          <w:b/>
        </w:rPr>
      </w:pPr>
      <w:r w:rsidRPr="00CE2ECE">
        <w:rPr>
          <w:b/>
        </w:rPr>
        <w:t>Gráfico</w:t>
      </w:r>
      <w:r>
        <w:rPr>
          <w:b/>
        </w:rPr>
        <w:t xml:space="preserve"> </w:t>
      </w:r>
      <w:r w:rsidR="00ED7CD9">
        <w:rPr>
          <w:b/>
        </w:rPr>
        <w:t>11</w:t>
      </w:r>
      <w:r w:rsidRPr="00CE2ECE">
        <w:rPr>
          <w:b/>
        </w:rPr>
        <w:t xml:space="preserve">. </w:t>
      </w:r>
      <w:r w:rsidR="00ED7CD9">
        <w:rPr>
          <w:b/>
        </w:rPr>
        <w:t>Tasa de inflación y diferencial de inflación (2000-2009)</w:t>
      </w:r>
      <w:r>
        <w:rPr>
          <w:b/>
        </w:rPr>
        <w:t xml:space="preserve"> </w:t>
      </w:r>
    </w:p>
    <w:p w:rsidR="00985781" w:rsidRDefault="00985781" w:rsidP="00985781">
      <w:pPr>
        <w:jc w:val="both"/>
      </w:pPr>
      <w:r>
        <w:rPr>
          <w:noProof/>
          <w:lang w:val="es-ES_tradnl" w:eastAsia="es-ES_tradnl"/>
        </w:rPr>
        <w:drawing>
          <wp:inline distT="0" distB="0" distL="0" distR="0" wp14:anchorId="0C59C61F" wp14:editId="6B1243AA">
            <wp:extent cx="5400675" cy="168592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2">
                      <a:extLst>
                        <a:ext uri="{28A0092B-C50C-407E-A947-70E740481C1C}">
                          <a14:useLocalDpi xmlns:a14="http://schemas.microsoft.com/office/drawing/2010/main" val="0"/>
                        </a:ext>
                      </a:extLst>
                    </a:blip>
                    <a:srcRect l="2632" t="21097" r="866" b="4220"/>
                    <a:stretch/>
                  </pic:blipFill>
                  <pic:spPr bwMode="auto">
                    <a:xfrm>
                      <a:off x="0" y="0"/>
                      <a:ext cx="5400675" cy="1685925"/>
                    </a:xfrm>
                    <a:prstGeom prst="rect">
                      <a:avLst/>
                    </a:prstGeom>
                    <a:noFill/>
                    <a:ln>
                      <a:noFill/>
                    </a:ln>
                    <a:extLst>
                      <a:ext uri="{53640926-AAD7-44D8-BBD7-CCE9431645EC}">
                        <a14:shadowObscured xmlns:a14="http://schemas.microsoft.com/office/drawing/2010/main"/>
                      </a:ext>
                    </a:extLst>
                  </pic:spPr>
                </pic:pic>
              </a:graphicData>
            </a:graphic>
          </wp:inline>
        </w:drawing>
      </w:r>
    </w:p>
    <w:p w:rsidR="00985781" w:rsidRDefault="00985781" w:rsidP="00985781">
      <w:pPr>
        <w:jc w:val="center"/>
        <w:rPr>
          <w:b/>
          <w:sz w:val="20"/>
          <w:szCs w:val="22"/>
        </w:rPr>
      </w:pPr>
      <w:r w:rsidRPr="00ED7CD9">
        <w:rPr>
          <w:b/>
          <w:sz w:val="20"/>
          <w:szCs w:val="22"/>
        </w:rPr>
        <w:t>Fuente: Elaboración propia. Datos INE y EUROSTAT</w:t>
      </w:r>
    </w:p>
    <w:p w:rsidR="00ED7CD9" w:rsidRPr="00ED7CD9" w:rsidRDefault="00ED7CD9" w:rsidP="00985781">
      <w:pPr>
        <w:jc w:val="center"/>
        <w:rPr>
          <w:b/>
          <w:sz w:val="20"/>
          <w:szCs w:val="22"/>
        </w:rPr>
      </w:pPr>
    </w:p>
    <w:p w:rsidR="00985781" w:rsidRPr="00955722" w:rsidRDefault="00985781" w:rsidP="00985781">
      <w:pPr>
        <w:jc w:val="center"/>
        <w:rPr>
          <w:szCs w:val="22"/>
        </w:rPr>
      </w:pPr>
    </w:p>
    <w:p w:rsidR="00985781" w:rsidRDefault="00985781" w:rsidP="00985781">
      <w:pPr>
        <w:jc w:val="both"/>
      </w:pPr>
      <w:r>
        <w:lastRenderedPageBreak/>
        <w:t>En el gráfico</w:t>
      </w:r>
      <w:r w:rsidR="00ED7CD9">
        <w:t xml:space="preserve"> 11</w:t>
      </w:r>
      <w:r>
        <w:t xml:space="preserve"> se ha mostrado como tradicionalmente ha existido un diferencial de inflación entre España y sus socios comunitarios, lo que restaba competitividad a la economía española. Con la crisis no sólo han caído el nivel de precios (incluso hasta tasas negativas), sino el diferencial de inflación con los demás países de la Unión Europea. </w:t>
      </w:r>
    </w:p>
    <w:p w:rsidR="00985781" w:rsidRDefault="00985781" w:rsidP="00985781">
      <w:pPr>
        <w:jc w:val="both"/>
      </w:pPr>
    </w:p>
    <w:p w:rsidR="00985781" w:rsidRDefault="00985781" w:rsidP="00985781">
      <w:pPr>
        <w:jc w:val="both"/>
      </w:pPr>
      <w:r>
        <w:t xml:space="preserve">¿Cómo ha influido el </w:t>
      </w:r>
      <w:r w:rsidR="00ED7CD9">
        <w:t>incremento de la tasa de ahorro de los hogares</w:t>
      </w:r>
      <w:r>
        <w:t xml:space="preserve"> en esta tendencia? Cuando una familia decide ahorrar más renta, esa decisión conlleva consumir menos, lo que reduce a su vez (como se verá más adelante) las ventas de las empresas. En una economía basada en las leyes de la oferta y la demanda, cuando se demanda menos un producto, las empresas están obligadas a reducir los precios para dar salidas a los stocks. Por tanto, una parte de la caída de los precios se debe a la reducción de la demanda por parte de las familias, que han decidido destinar más renta al ahorro. Ello conlleva también un aumento de la competitividad de la economía española en base a la reducción del diferencial de inflación, que como se ha podido comprobar, ha pasado incluso a tasas negativas en los últimos meses. Por tanto el incremento del ahorro de las familias ha tenido un efecto positivo sobre la competitividad de la economía. </w:t>
      </w:r>
    </w:p>
    <w:p w:rsidR="00985781" w:rsidRDefault="00985781" w:rsidP="00985781">
      <w:pPr>
        <w:jc w:val="both"/>
      </w:pPr>
    </w:p>
    <w:p w:rsidR="00985781" w:rsidRPr="00F11DD0" w:rsidRDefault="009B76A2" w:rsidP="00331C39">
      <w:pPr>
        <w:pStyle w:val="Ttulo2"/>
        <w:numPr>
          <w:ilvl w:val="1"/>
          <w:numId w:val="18"/>
        </w:numPr>
      </w:pPr>
      <w:bookmarkStart w:id="18" w:name="_Toc291939270"/>
      <w:r>
        <w:t>Endeudamiento de las familias</w:t>
      </w:r>
      <w:bookmarkEnd w:id="18"/>
    </w:p>
    <w:p w:rsidR="00985781" w:rsidRDefault="00985781" w:rsidP="00985781"/>
    <w:p w:rsidR="00985781" w:rsidRDefault="00985781" w:rsidP="00985781">
      <w:pPr>
        <w:jc w:val="both"/>
      </w:pPr>
      <w:r>
        <w:t xml:space="preserve">El endeudamiento de las familias es un problema muy importante no sólo a nivel de la propia familia, que puede ver mermada su solvencia, sino también a nivel macroeconómico en el sentido de que el país se ve más endeudado. Durante los últimos años de expansión de la economía, las familias se endeudaron hasta niveles históricos, debido principalmente a los bajos tipos de interés y la expansión crediticia que ello conllevó, con el objetivo principal de inversión en bienes inmobiliarios. </w:t>
      </w:r>
    </w:p>
    <w:p w:rsidR="00985781" w:rsidRDefault="00985781" w:rsidP="00985781"/>
    <w:p w:rsidR="00985781" w:rsidRDefault="00985781" w:rsidP="00985781">
      <w:pPr>
        <w:jc w:val="center"/>
        <w:rPr>
          <w:b/>
        </w:rPr>
      </w:pPr>
      <w:r w:rsidRPr="00CE2ECE">
        <w:rPr>
          <w:b/>
        </w:rPr>
        <w:t>Gráfico</w:t>
      </w:r>
      <w:r>
        <w:rPr>
          <w:b/>
        </w:rPr>
        <w:t xml:space="preserve"> </w:t>
      </w:r>
      <w:r w:rsidR="00914C98">
        <w:rPr>
          <w:b/>
        </w:rPr>
        <w:t>12</w:t>
      </w:r>
      <w:r w:rsidRPr="00CE2ECE">
        <w:rPr>
          <w:b/>
        </w:rPr>
        <w:t xml:space="preserve">. </w:t>
      </w:r>
      <w:r w:rsidR="00914C98">
        <w:rPr>
          <w:b/>
        </w:rPr>
        <w:t>Deuda de Hogares</w:t>
      </w:r>
      <w:r>
        <w:rPr>
          <w:b/>
        </w:rPr>
        <w:t xml:space="preserve"> (% sobre el PIB)</w:t>
      </w:r>
    </w:p>
    <w:p w:rsidR="00985781" w:rsidRDefault="00985781" w:rsidP="00985781">
      <w:r>
        <w:rPr>
          <w:noProof/>
          <w:lang w:val="es-ES_tradnl" w:eastAsia="es-ES_tradnl"/>
        </w:rPr>
        <w:drawing>
          <wp:inline distT="0" distB="0" distL="0" distR="0" wp14:anchorId="36BAB7A3" wp14:editId="3423AAD4">
            <wp:extent cx="5372100" cy="15811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3">
                      <a:extLst>
                        <a:ext uri="{28A0092B-C50C-407E-A947-70E740481C1C}">
                          <a14:useLocalDpi xmlns:a14="http://schemas.microsoft.com/office/drawing/2010/main" val="0"/>
                        </a:ext>
                      </a:extLst>
                    </a:blip>
                    <a:srcRect l="3691" t="14634" r="1570" b="4390"/>
                    <a:stretch/>
                  </pic:blipFill>
                  <pic:spPr bwMode="auto">
                    <a:xfrm>
                      <a:off x="0" y="0"/>
                      <a:ext cx="5372100" cy="1581150"/>
                    </a:xfrm>
                    <a:prstGeom prst="rect">
                      <a:avLst/>
                    </a:prstGeom>
                    <a:noFill/>
                    <a:ln>
                      <a:noFill/>
                    </a:ln>
                    <a:extLst>
                      <a:ext uri="{53640926-AAD7-44D8-BBD7-CCE9431645EC}">
                        <a14:shadowObscured xmlns:a14="http://schemas.microsoft.com/office/drawing/2010/main"/>
                      </a:ext>
                    </a:extLst>
                  </pic:spPr>
                </pic:pic>
              </a:graphicData>
            </a:graphic>
          </wp:inline>
        </w:drawing>
      </w:r>
    </w:p>
    <w:p w:rsidR="00985781" w:rsidRPr="00176262" w:rsidRDefault="00985781" w:rsidP="00985781">
      <w:pPr>
        <w:jc w:val="center"/>
        <w:rPr>
          <w:b/>
          <w:sz w:val="20"/>
          <w:szCs w:val="22"/>
        </w:rPr>
      </w:pPr>
      <w:r w:rsidRPr="00176262">
        <w:rPr>
          <w:b/>
          <w:sz w:val="20"/>
          <w:szCs w:val="22"/>
        </w:rPr>
        <w:t>Fuente: Elaboración propia. Datos Cuentas Financieras del Banco de España</w:t>
      </w:r>
    </w:p>
    <w:p w:rsidR="00985781" w:rsidRDefault="00985781" w:rsidP="00985781"/>
    <w:p w:rsidR="00985781" w:rsidRDefault="00985781" w:rsidP="00985781">
      <w:pPr>
        <w:jc w:val="both"/>
      </w:pPr>
      <w:r>
        <w:t>Como se observa</w:t>
      </w:r>
      <w:r w:rsidR="00176262">
        <w:t xml:space="preserve"> en el gráfico 12</w:t>
      </w:r>
      <w:r>
        <w:t>, a partir de 2007 se ha estabilizado el crecimiento de la deuda de las familias, aunque se mantiene una tendencia ligeramente creciente. Ello se debe la restricción crediticia, pero también la pérdida de muchas familias de sus ingresos principales debido al paro. Por otra parte, y a causa de ello, las familias han cambiado sus decisiones de utilización de la renta disponible, incrementando el ahorro. Ello ha hecho que muchas familias ahorren más, disminuyendo su endeudamiento o al menos obligándose a no incrementarlo en la misma medida a la que se hacía en los anteriores años, por lo que el cambio de tendencia del ahorro ha conllevado un efecto positivo en el endeudamiento de las familias.</w:t>
      </w:r>
    </w:p>
    <w:p w:rsidR="00985781" w:rsidRDefault="00985781" w:rsidP="00985781"/>
    <w:p w:rsidR="00016950" w:rsidRDefault="00016950" w:rsidP="00016950">
      <w:pPr>
        <w:pStyle w:val="Ttulo2"/>
      </w:pPr>
    </w:p>
    <w:p w:rsidR="00985781" w:rsidRPr="00F11DD0" w:rsidRDefault="00FC11C9" w:rsidP="00331C39">
      <w:pPr>
        <w:pStyle w:val="Ttulo2"/>
        <w:numPr>
          <w:ilvl w:val="1"/>
          <w:numId w:val="18"/>
        </w:numPr>
      </w:pPr>
      <w:bookmarkStart w:id="19" w:name="_Toc291939271"/>
      <w:r>
        <w:t>Actividad Empresarial</w:t>
      </w:r>
      <w:bookmarkEnd w:id="19"/>
    </w:p>
    <w:p w:rsidR="00985781" w:rsidRDefault="00985781" w:rsidP="00985781"/>
    <w:p w:rsidR="00985781" w:rsidRDefault="00985781" w:rsidP="00985781">
      <w:pPr>
        <w:jc w:val="both"/>
      </w:pPr>
      <w:r>
        <w:t>Una consecuencia muy importante para la economía española del cambio de tendencia de</w:t>
      </w:r>
      <w:r w:rsidR="00FC11C9">
        <w:t xml:space="preserve"> </w:t>
      </w:r>
      <w:r>
        <w:t>l</w:t>
      </w:r>
      <w:r w:rsidR="00FC11C9">
        <w:t xml:space="preserve">a tasa de </w:t>
      </w:r>
      <w:r>
        <w:t xml:space="preserve"> ahorro </w:t>
      </w:r>
      <w:r w:rsidR="00FC11C9">
        <w:t>de los hogares</w:t>
      </w:r>
      <w:r>
        <w:t xml:space="preserve"> es su efecto sobre la actividad empresarial. Como se observa en el gráfico</w:t>
      </w:r>
      <w:r w:rsidR="00FC11C9">
        <w:t xml:space="preserve"> 13</w:t>
      </w:r>
      <w:r>
        <w:t>, la decisión de aumentar el ahorro ha provocado una reducción del gasto final en consumo de los hogares.</w:t>
      </w:r>
    </w:p>
    <w:p w:rsidR="00985781" w:rsidRDefault="00985781" w:rsidP="00985781"/>
    <w:p w:rsidR="00985781" w:rsidRDefault="00985781" w:rsidP="00985781"/>
    <w:p w:rsidR="00985781" w:rsidRDefault="00985781" w:rsidP="00985781">
      <w:pPr>
        <w:jc w:val="center"/>
      </w:pPr>
      <w:r w:rsidRPr="00CE2ECE">
        <w:rPr>
          <w:b/>
        </w:rPr>
        <w:t>Gráfico</w:t>
      </w:r>
      <w:r>
        <w:rPr>
          <w:b/>
        </w:rPr>
        <w:t xml:space="preserve"> </w:t>
      </w:r>
      <w:r w:rsidR="00FC11C9">
        <w:rPr>
          <w:b/>
        </w:rPr>
        <w:t>13</w:t>
      </w:r>
      <w:r w:rsidRPr="00CE2ECE">
        <w:rPr>
          <w:b/>
        </w:rPr>
        <w:t>.</w:t>
      </w:r>
      <w:r w:rsidR="00FC11C9">
        <w:rPr>
          <w:b/>
        </w:rPr>
        <w:t xml:space="preserve"> Gasto final en consumo de los hogares (2000-2009)</w:t>
      </w:r>
    </w:p>
    <w:p w:rsidR="00985781" w:rsidRDefault="00985781" w:rsidP="00985781">
      <w:r>
        <w:rPr>
          <w:noProof/>
          <w:lang w:val="es-ES_tradnl" w:eastAsia="es-ES_tradnl"/>
        </w:rPr>
        <w:drawing>
          <wp:inline distT="0" distB="0" distL="0" distR="0" wp14:anchorId="575D4CD9" wp14:editId="315A05C3">
            <wp:extent cx="5219700" cy="160972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4">
                      <a:extLst>
                        <a:ext uri="{28A0092B-C50C-407E-A947-70E740481C1C}">
                          <a14:useLocalDpi xmlns:a14="http://schemas.microsoft.com/office/drawing/2010/main" val="0"/>
                        </a:ext>
                      </a:extLst>
                    </a:blip>
                    <a:srcRect l="2105" t="21834" r="1744" b="4367"/>
                    <a:stretch/>
                  </pic:blipFill>
                  <pic:spPr bwMode="auto">
                    <a:xfrm>
                      <a:off x="0" y="0"/>
                      <a:ext cx="5219700" cy="1609725"/>
                    </a:xfrm>
                    <a:prstGeom prst="rect">
                      <a:avLst/>
                    </a:prstGeom>
                    <a:noFill/>
                    <a:ln>
                      <a:noFill/>
                    </a:ln>
                    <a:extLst>
                      <a:ext uri="{53640926-AAD7-44D8-BBD7-CCE9431645EC}">
                        <a14:shadowObscured xmlns:a14="http://schemas.microsoft.com/office/drawing/2010/main"/>
                      </a:ext>
                    </a:extLst>
                  </pic:spPr>
                </pic:pic>
              </a:graphicData>
            </a:graphic>
          </wp:inline>
        </w:drawing>
      </w:r>
    </w:p>
    <w:p w:rsidR="00985781" w:rsidRPr="00FC11C9" w:rsidRDefault="00985781" w:rsidP="00985781">
      <w:pPr>
        <w:jc w:val="center"/>
        <w:rPr>
          <w:b/>
          <w:sz w:val="20"/>
          <w:szCs w:val="22"/>
        </w:rPr>
      </w:pPr>
      <w:r w:rsidRPr="00FC11C9">
        <w:rPr>
          <w:b/>
          <w:sz w:val="20"/>
          <w:szCs w:val="22"/>
        </w:rPr>
        <w:t>Fuente: Elaboración propia. Datos Cuentas Trimestrales no financieras de sectores (INE)</w:t>
      </w:r>
    </w:p>
    <w:p w:rsidR="00985781" w:rsidRDefault="00985781" w:rsidP="00985781"/>
    <w:p w:rsidR="00985781" w:rsidRDefault="00985781" w:rsidP="00985781"/>
    <w:p w:rsidR="00985781" w:rsidRDefault="00985781" w:rsidP="00985781">
      <w:r>
        <w:t>Este cambio de tendencia implica que las familias contraen su demanda, por lo que las ventas empresariales se resienten, y por tanto, sus resultados</w:t>
      </w:r>
      <w:r w:rsidR="006C62DC">
        <w:t xml:space="preserve"> (gráfico 14)</w:t>
      </w:r>
      <w:r>
        <w:t>.</w:t>
      </w:r>
    </w:p>
    <w:p w:rsidR="00985781" w:rsidRDefault="00985781" w:rsidP="00985781"/>
    <w:p w:rsidR="006C62DC" w:rsidRDefault="00985781" w:rsidP="00985781">
      <w:pPr>
        <w:jc w:val="center"/>
        <w:rPr>
          <w:b/>
        </w:rPr>
      </w:pPr>
      <w:r w:rsidRPr="00CE2ECE">
        <w:rPr>
          <w:b/>
        </w:rPr>
        <w:t>Gráfico</w:t>
      </w:r>
      <w:r>
        <w:rPr>
          <w:b/>
        </w:rPr>
        <w:t xml:space="preserve"> </w:t>
      </w:r>
      <w:r w:rsidR="006C62DC">
        <w:rPr>
          <w:b/>
        </w:rPr>
        <w:t>14</w:t>
      </w:r>
      <w:r w:rsidRPr="00CE2ECE">
        <w:rPr>
          <w:b/>
        </w:rPr>
        <w:t>.</w:t>
      </w:r>
      <w:r>
        <w:rPr>
          <w:b/>
        </w:rPr>
        <w:t xml:space="preserve"> </w:t>
      </w:r>
      <w:r w:rsidR="006C62DC">
        <w:rPr>
          <w:b/>
        </w:rPr>
        <w:t>Ventas y resultado bruto de las empresas (2000-2008)</w:t>
      </w:r>
    </w:p>
    <w:p w:rsidR="00985781" w:rsidRDefault="00985781" w:rsidP="00985781">
      <w:pPr>
        <w:jc w:val="center"/>
      </w:pPr>
      <w:r>
        <w:rPr>
          <w:b/>
        </w:rPr>
        <w:t>(Tasas de Variación)</w:t>
      </w:r>
    </w:p>
    <w:p w:rsidR="00985781" w:rsidRDefault="00985781" w:rsidP="00985781">
      <w:r>
        <w:rPr>
          <w:noProof/>
          <w:lang w:val="es-ES_tradnl" w:eastAsia="es-ES_tradnl"/>
        </w:rPr>
        <w:drawing>
          <wp:inline distT="0" distB="0" distL="0" distR="0" wp14:anchorId="659BD704" wp14:editId="269491BE">
            <wp:extent cx="5438282" cy="176212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45">
                      <a:extLst>
                        <a:ext uri="{28A0092B-C50C-407E-A947-70E740481C1C}">
                          <a14:useLocalDpi xmlns:a14="http://schemas.microsoft.com/office/drawing/2010/main" val="0"/>
                        </a:ext>
                      </a:extLst>
                    </a:blip>
                    <a:srcRect l="1965" t="22318" r="2131" b="3005"/>
                    <a:stretch/>
                  </pic:blipFill>
                  <pic:spPr bwMode="auto">
                    <a:xfrm>
                      <a:off x="0" y="0"/>
                      <a:ext cx="5438282" cy="1762125"/>
                    </a:xfrm>
                    <a:prstGeom prst="rect">
                      <a:avLst/>
                    </a:prstGeom>
                    <a:noFill/>
                    <a:ln>
                      <a:noFill/>
                    </a:ln>
                    <a:extLst>
                      <a:ext uri="{53640926-AAD7-44D8-BBD7-CCE9431645EC}">
                        <a14:shadowObscured xmlns:a14="http://schemas.microsoft.com/office/drawing/2010/main"/>
                      </a:ext>
                    </a:extLst>
                  </pic:spPr>
                </pic:pic>
              </a:graphicData>
            </a:graphic>
          </wp:inline>
        </w:drawing>
      </w:r>
    </w:p>
    <w:p w:rsidR="00985781" w:rsidRPr="006C62DC" w:rsidRDefault="00985781" w:rsidP="00985781">
      <w:pPr>
        <w:jc w:val="center"/>
        <w:rPr>
          <w:b/>
          <w:sz w:val="20"/>
          <w:szCs w:val="22"/>
        </w:rPr>
      </w:pPr>
      <w:r w:rsidRPr="006C62DC">
        <w:rPr>
          <w:b/>
          <w:sz w:val="20"/>
          <w:szCs w:val="22"/>
        </w:rPr>
        <w:t>Fuente: Elaboración propia. Datos Central de Balances del Banco de España</w:t>
      </w:r>
    </w:p>
    <w:p w:rsidR="00985781" w:rsidRDefault="00985781" w:rsidP="00985781"/>
    <w:p w:rsidR="00985781" w:rsidRDefault="00985781" w:rsidP="00985781">
      <w:pPr>
        <w:jc w:val="both"/>
      </w:pPr>
      <w:r>
        <w:t>Como se puede observar en el gráfico</w:t>
      </w:r>
      <w:r w:rsidR="00D9593C">
        <w:t xml:space="preserve"> 14</w:t>
      </w:r>
      <w:r>
        <w:t xml:space="preserve">, a partir de 2006 las ventas de las empresas han caído notablemente, estando en 2008 cercanas a la variación nula. Ello conlleva una fuerte reducción del resultado bruto de explotación (aquel que representa el resultado de la actividad empresarial, independientemente de cargas financieras, amortizaciones e impuestos). </w:t>
      </w:r>
      <w:r w:rsidR="00D9593C">
        <w:t>A</w:t>
      </w:r>
      <w:r>
        <w:t xml:space="preserve"> partir de 2007 este resultado ha caído radicalmente, estando en 2008 aproximadamente en una tasa de variación del 10%. Ello implica la caída de la demanda y el aumento de los gastos corrientes. </w:t>
      </w:r>
    </w:p>
    <w:p w:rsidR="00985781" w:rsidRDefault="00985781" w:rsidP="00985781">
      <w:pPr>
        <w:jc w:val="both"/>
      </w:pPr>
    </w:p>
    <w:p w:rsidR="00985781" w:rsidRDefault="00985781" w:rsidP="00985781">
      <w:pPr>
        <w:jc w:val="both"/>
      </w:pPr>
      <w:r>
        <w:t>Por tanto, el ahorro familiar tiene un fuerte efecto negativo sobre los resultados empresariales, pues las empresas se ven obligadas a fuertes rebajas en sus precios para dar salidas a sus stocks, lo que , unido a que en ocasiones no pueden dar salidas a sus productos, provoca la fuerte contracción de sus resultados expuesta.</w:t>
      </w:r>
    </w:p>
    <w:p w:rsidR="00985781" w:rsidRDefault="00985781" w:rsidP="00985781">
      <w:pPr>
        <w:jc w:val="both"/>
      </w:pPr>
    </w:p>
    <w:p w:rsidR="00985781" w:rsidRDefault="00985781" w:rsidP="00985781">
      <w:pPr>
        <w:jc w:val="both"/>
      </w:pPr>
      <w:r>
        <w:lastRenderedPageBreak/>
        <w:t>En este sentido, muchas empresas ven mermada su solvencia, por lo que terminan por declarar concurso de acreedores o desaparecer.</w:t>
      </w:r>
    </w:p>
    <w:p w:rsidR="00985781" w:rsidRDefault="00985781" w:rsidP="00985781">
      <w:pPr>
        <w:jc w:val="center"/>
        <w:rPr>
          <w:b/>
        </w:rPr>
      </w:pPr>
    </w:p>
    <w:p w:rsidR="003637FB" w:rsidRDefault="003637FB" w:rsidP="00985781">
      <w:pPr>
        <w:jc w:val="center"/>
        <w:rPr>
          <w:b/>
        </w:rPr>
      </w:pPr>
    </w:p>
    <w:p w:rsidR="00985781" w:rsidRDefault="00985781" w:rsidP="00985781">
      <w:pPr>
        <w:jc w:val="center"/>
      </w:pPr>
      <w:r w:rsidRPr="00CE2ECE">
        <w:rPr>
          <w:b/>
        </w:rPr>
        <w:t>Gráfico</w:t>
      </w:r>
      <w:r>
        <w:rPr>
          <w:b/>
        </w:rPr>
        <w:t xml:space="preserve"> </w:t>
      </w:r>
      <w:r w:rsidR="003637FB">
        <w:rPr>
          <w:b/>
        </w:rPr>
        <w:t>15</w:t>
      </w:r>
      <w:r w:rsidRPr="00CE2ECE">
        <w:rPr>
          <w:b/>
        </w:rPr>
        <w:t>.</w:t>
      </w:r>
      <w:r w:rsidR="003637FB">
        <w:rPr>
          <w:b/>
        </w:rPr>
        <w:t xml:space="preserve"> Dinámica empresarial en España (2000-2009)</w:t>
      </w:r>
    </w:p>
    <w:p w:rsidR="00985781" w:rsidRDefault="004D1F8D" w:rsidP="00985781">
      <w:r>
        <w:rPr>
          <w:noProof/>
          <w:lang w:val="es-ES_tradnl" w:eastAsia="es-ES_tradnl"/>
        </w:rPr>
        <w:drawing>
          <wp:inline distT="0" distB="0" distL="0" distR="0" wp14:anchorId="2CA7DEF8" wp14:editId="3F21ABBB">
            <wp:extent cx="5419725" cy="22764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6">
                      <a:extLst>
                        <a:ext uri="{28A0092B-C50C-407E-A947-70E740481C1C}">
                          <a14:useLocalDpi xmlns:a14="http://schemas.microsoft.com/office/drawing/2010/main" val="0"/>
                        </a:ext>
                      </a:extLst>
                    </a:blip>
                    <a:srcRect l="2126" t="6439" r="2059" b="3030"/>
                    <a:stretch/>
                  </pic:blipFill>
                  <pic:spPr bwMode="auto">
                    <a:xfrm>
                      <a:off x="0" y="0"/>
                      <a:ext cx="5426701" cy="2279405"/>
                    </a:xfrm>
                    <a:prstGeom prst="rect">
                      <a:avLst/>
                    </a:prstGeom>
                    <a:noFill/>
                    <a:ln>
                      <a:noFill/>
                    </a:ln>
                    <a:extLst>
                      <a:ext uri="{53640926-AAD7-44D8-BBD7-CCE9431645EC}">
                        <a14:shadowObscured xmlns:a14="http://schemas.microsoft.com/office/drawing/2010/main"/>
                      </a:ext>
                    </a:extLst>
                  </pic:spPr>
                </pic:pic>
              </a:graphicData>
            </a:graphic>
          </wp:inline>
        </w:drawing>
      </w:r>
    </w:p>
    <w:p w:rsidR="00985781" w:rsidRPr="003637FB" w:rsidRDefault="00985781" w:rsidP="00985781">
      <w:pPr>
        <w:jc w:val="center"/>
        <w:rPr>
          <w:b/>
          <w:sz w:val="20"/>
          <w:szCs w:val="22"/>
        </w:rPr>
      </w:pPr>
      <w:r w:rsidRPr="003637FB">
        <w:rPr>
          <w:b/>
          <w:sz w:val="20"/>
          <w:szCs w:val="22"/>
        </w:rPr>
        <w:t>Fuente: Elaboración propia. Datos DIRCE (INE)</w:t>
      </w:r>
    </w:p>
    <w:p w:rsidR="00985781" w:rsidRDefault="00985781" w:rsidP="00985781"/>
    <w:p w:rsidR="004D1F8D" w:rsidRDefault="004D1F8D" w:rsidP="00985781">
      <w:pPr>
        <w:jc w:val="both"/>
      </w:pPr>
    </w:p>
    <w:p w:rsidR="00985781" w:rsidRDefault="00985781" w:rsidP="00985781">
      <w:pPr>
        <w:jc w:val="both"/>
      </w:pPr>
      <w:r>
        <w:t xml:space="preserve">Se observa en el gráfico </w:t>
      </w:r>
      <w:r w:rsidR="00216C33">
        <w:t xml:space="preserve">15 </w:t>
      </w:r>
      <w:r>
        <w:t>representativo de la dinámica empresarial que el número de empresas que han desaparecido se ha incrementado desde 2007 de forma creciente, a la vez que las empresas nuevas creadas han disminuido ligeramente durante 2007, para caer fuertemente desde 2008. En términos globales, el número de empresas neto se ha estabilizado desde 2008, decreciendo muy ligeramente en los</w:t>
      </w:r>
      <w:r w:rsidR="00216C33">
        <w:t xml:space="preserve"> últimos meses</w:t>
      </w:r>
      <w:r>
        <w:t xml:space="preserve">. </w:t>
      </w:r>
    </w:p>
    <w:p w:rsidR="00985781" w:rsidRDefault="00985781" w:rsidP="00985781">
      <w:pPr>
        <w:jc w:val="both"/>
      </w:pPr>
    </w:p>
    <w:p w:rsidR="00985781" w:rsidRDefault="00985781" w:rsidP="00985781">
      <w:pPr>
        <w:jc w:val="both"/>
      </w:pPr>
      <w:r>
        <w:t>Por tanto, el incremento de</w:t>
      </w:r>
      <w:r w:rsidR="0028689E">
        <w:t xml:space="preserve"> </w:t>
      </w:r>
      <w:r>
        <w:t>l</w:t>
      </w:r>
      <w:r w:rsidR="0028689E">
        <w:t>a tasa de</w:t>
      </w:r>
      <w:r>
        <w:t xml:space="preserve"> ahorro </w:t>
      </w:r>
      <w:r w:rsidR="0028689E">
        <w:t>de los hogares</w:t>
      </w:r>
      <w:r>
        <w:t xml:space="preserve"> ha tenido como consecuencia negativa la desaparición de un número muy alto de empresas y de la disminución de los emprendedores que deciden montar su propio negocio.</w:t>
      </w:r>
    </w:p>
    <w:p w:rsidR="00985781" w:rsidRDefault="00985781" w:rsidP="00985781"/>
    <w:p w:rsidR="008136AB" w:rsidRPr="00016950" w:rsidRDefault="008136AB" w:rsidP="00331C39">
      <w:pPr>
        <w:pStyle w:val="Ttulo1"/>
        <w:numPr>
          <w:ilvl w:val="0"/>
          <w:numId w:val="18"/>
        </w:numPr>
      </w:pPr>
      <w:bookmarkStart w:id="20" w:name="_Toc291939272"/>
      <w:r w:rsidRPr="00016950">
        <w:t>CONCLUSIONES</w:t>
      </w:r>
      <w:bookmarkEnd w:id="20"/>
    </w:p>
    <w:p w:rsidR="00F27E15" w:rsidRDefault="00F27E15" w:rsidP="00F27E15"/>
    <w:p w:rsidR="00985781" w:rsidRDefault="00985781" w:rsidP="00985781">
      <w:pPr>
        <w:jc w:val="both"/>
      </w:pPr>
      <w:r>
        <w:t>A lo largo de este trabajo se ha buscado responder a las preguntas</w:t>
      </w:r>
    </w:p>
    <w:p w:rsidR="00985781" w:rsidRDefault="00985781" w:rsidP="00985781">
      <w:pPr>
        <w:jc w:val="both"/>
        <w:rPr>
          <w:b/>
        </w:rPr>
      </w:pPr>
    </w:p>
    <w:p w:rsidR="00985781" w:rsidRDefault="00985781" w:rsidP="00985781">
      <w:pPr>
        <w:jc w:val="both"/>
      </w:pPr>
      <w:r w:rsidRPr="004D6820">
        <w:rPr>
          <w:i/>
        </w:rPr>
        <w:t xml:space="preserve">¿Qué ha provocado este cambio de tendencia durante la crisis económica en la tasa de ahorro de las familias españolas? </w:t>
      </w:r>
    </w:p>
    <w:p w:rsidR="00297D8F" w:rsidRPr="00297D8F" w:rsidRDefault="00297D8F" w:rsidP="00985781">
      <w:pPr>
        <w:jc w:val="both"/>
      </w:pPr>
    </w:p>
    <w:p w:rsidR="00985781" w:rsidRPr="004D6820" w:rsidRDefault="00985781" w:rsidP="00985781">
      <w:pPr>
        <w:jc w:val="both"/>
        <w:rPr>
          <w:i/>
        </w:rPr>
      </w:pPr>
      <w:r w:rsidRPr="004D6820">
        <w:rPr>
          <w:i/>
        </w:rPr>
        <w:t xml:space="preserve">¿Qué consecuencias tienen estas decisiones sobre el conjunto de la economía? </w:t>
      </w:r>
    </w:p>
    <w:p w:rsidR="00985781" w:rsidRDefault="00985781" w:rsidP="00985781">
      <w:pPr>
        <w:jc w:val="both"/>
      </w:pPr>
    </w:p>
    <w:p w:rsidR="00985781" w:rsidRDefault="00985781" w:rsidP="00985781">
      <w:pPr>
        <w:jc w:val="both"/>
      </w:pPr>
      <w:r>
        <w:t>Para responder a estas preguntas se ha hecho un análisis</w:t>
      </w:r>
      <w:r w:rsidR="001E416D">
        <w:t>,</w:t>
      </w:r>
      <w:r>
        <w:t xml:space="preserve"> en primer lugar</w:t>
      </w:r>
      <w:r w:rsidR="001E416D">
        <w:t>,</w:t>
      </w:r>
      <w:r>
        <w:t xml:space="preserve"> de los componentes de la tasa de ahorro </w:t>
      </w:r>
      <w:r w:rsidR="00297D8F">
        <w:t>de los hogares</w:t>
      </w:r>
      <w:r>
        <w:t xml:space="preserve">, descubriendo que el cambio de tendencia se debe </w:t>
      </w:r>
      <w:r w:rsidR="00297D8F">
        <w:t>al</w:t>
      </w:r>
      <w:r>
        <w:t xml:space="preserve"> aumento del ahorro bruto. Ello ha hecho que se analicen los factores que condicionan a las familias a la hora de decidir ahorrar más. Estos factores son la confianza, el desempleo y la riqueza derivada de la propiedad inmobiliaria. En el caso de la confianza, ha habido una caída generalizada de los </w:t>
      </w:r>
      <w:r w:rsidR="00297D8F">
        <w:t>índices que la cuantifican, aunque</w:t>
      </w:r>
      <w:r>
        <w:t xml:space="preserve"> en los últimos meses esta vari</w:t>
      </w:r>
      <w:r w:rsidR="00297D8F">
        <w:t>able ha visto aumentar su valor</w:t>
      </w:r>
      <w:r>
        <w:t>.</w:t>
      </w:r>
      <w:r w:rsidR="00297D8F">
        <w:t xml:space="preserve"> El efecto de la desconfianza es un mayor ahorro por motivo de precaución.</w:t>
      </w:r>
      <w:r>
        <w:t xml:space="preserve"> En </w:t>
      </w:r>
      <w:r w:rsidR="00297D8F">
        <w:t>lo relativo</w:t>
      </w:r>
      <w:r>
        <w:t xml:space="preserve"> al desempleo, durante los últimos meses se ha incrementado de forma radical, hasta llegar aproximadamente al 20% de la población activa.</w:t>
      </w:r>
      <w:r w:rsidR="00297D8F">
        <w:t xml:space="preserve"> </w:t>
      </w:r>
      <w:r>
        <w:t xml:space="preserve">El desempleo hace que las familias ahorren por precaución dada la incertidumbre del futuro, a la vez que ven </w:t>
      </w:r>
      <w:r>
        <w:lastRenderedPageBreak/>
        <w:t xml:space="preserve">disminuida sus ingresos corrientes.  </w:t>
      </w:r>
      <w:r w:rsidR="00297D8F">
        <w:t>Por último, respecto</w:t>
      </w:r>
      <w:r>
        <w:t xml:space="preserve"> a la riqueza derivada de la propiedad inmobiliaria, durante los años de crecimiento, la vivienda y su constante aumento de precios provocaron un aumento de riqueza de las familias, que unido a las facilidades de endeudamiento, provocó la disminución del ahorro. Con la caída de los precios de la vivienda y las dificultades para afrontar el endeudamiento, el efecto riqueza se ha contraído, provocando el aumento del ahorro. </w:t>
      </w:r>
    </w:p>
    <w:p w:rsidR="00985781" w:rsidRDefault="00985781" w:rsidP="00985781">
      <w:pPr>
        <w:jc w:val="both"/>
      </w:pPr>
    </w:p>
    <w:p w:rsidR="00985781" w:rsidRDefault="00985781" w:rsidP="00985781">
      <w:pPr>
        <w:jc w:val="both"/>
      </w:pPr>
      <w:r>
        <w:t xml:space="preserve">Una vez vistas las causas del ahorro bruto, se ha pasado a considerar los factores </w:t>
      </w:r>
      <w:r w:rsidR="00617791">
        <w:t xml:space="preserve">que han hecho crecer la renta disponible bruta y, por tanto, que han evitado un mayor crecimiento de la tasa de ahorro de los hogares españoles. Esta evolución se debe a las políticas públicas de transferencias corrientes que </w:t>
      </w:r>
      <w:proofErr w:type="gramStart"/>
      <w:r w:rsidR="00617791">
        <w:t>ha</w:t>
      </w:r>
      <w:proofErr w:type="gramEnd"/>
      <w:r w:rsidR="00617791">
        <w:t xml:space="preserve"> otorgado mayores rentas a las familias, y a una inflación decreciente, y sobre todo, negativa en ciertos meses del 2009.</w:t>
      </w:r>
    </w:p>
    <w:p w:rsidR="00985781" w:rsidRDefault="00985781" w:rsidP="00985781">
      <w:pPr>
        <w:jc w:val="both"/>
      </w:pPr>
    </w:p>
    <w:p w:rsidR="00985781" w:rsidRDefault="00985781" w:rsidP="00985781">
      <w:pPr>
        <w:jc w:val="both"/>
      </w:pPr>
      <w:r>
        <w:t>Una vez vistos los factores determinantes del cambio de tendencia del ahorro, se ha procedido</w:t>
      </w:r>
      <w:r w:rsidR="007F4755">
        <w:t xml:space="preserve"> a realizar un análisis cuantitativo, en base</w:t>
      </w:r>
      <w:r>
        <w:t xml:space="preserve"> a estimar</w:t>
      </w:r>
      <w:r w:rsidR="007F4755">
        <w:t>, en primer lugar,</w:t>
      </w:r>
      <w:r>
        <w:t xml:space="preserve"> un modelo del comportamiento de la tasa de ahorro</w:t>
      </w:r>
      <w:r w:rsidR="007F4755">
        <w:t xml:space="preserve"> de los hogares</w:t>
      </w:r>
      <w:r>
        <w:t xml:space="preserve">, de modo que a través de un análisis factorial de componentes principales se han establecido tres factores que aglutinan las variables analizadas anteriormente en el trabajo. Estos factores son la “Renta y Riqueza”, la “inflación/Paro” y la “Confianza”. Con estos factores se ha estimado un modelo de regresión múltiple que señala la mayor importancia de la </w:t>
      </w:r>
      <w:r w:rsidR="007F4755">
        <w:t>“</w:t>
      </w:r>
      <w:r>
        <w:t>inflación/emple</w:t>
      </w:r>
      <w:r w:rsidR="007F4755">
        <w:t>o”</w:t>
      </w:r>
      <w:r>
        <w:t xml:space="preserve"> en la tasa de ahorro </w:t>
      </w:r>
      <w:r w:rsidR="007F4755">
        <w:t xml:space="preserve">de los hogares españoles. Para apoyar este análisis cuantitativo se ha especificado un modelo ARIMA que permite concluir que la evolución de la tasa de ahorro de los hogares no depende tanto de sus valores en periodos pasados, sino de las innovaciones que se dan en la economía. </w:t>
      </w:r>
    </w:p>
    <w:p w:rsidR="00985781" w:rsidRDefault="00985781" w:rsidP="00985781">
      <w:pPr>
        <w:jc w:val="both"/>
      </w:pPr>
    </w:p>
    <w:p w:rsidR="00985781" w:rsidRDefault="00985781" w:rsidP="00985781">
      <w:pPr>
        <w:jc w:val="both"/>
      </w:pPr>
      <w:r>
        <w:t xml:space="preserve">La última parte de este trabajo se ha basado en ver las consecuencias que el cambio de tendencia del ahorro familiar sobre la economía. Se ha analizado el efecto positivo del ahorro sobre el nivel de precios y por tanto, la competitividad de España en relación  principalmente con sus vecinos comunitarios, con la mejora del déficit por cuenta corriente y con la reducción del endeudamiento de las familias. Sin embargo, también se ha analizado el efecto negativo del incremento del ahorro sobre la actividad empresarial, señalando que un mayor ahorro produce un menor gasto en consumo, lo que repercute negativamente en las ventas de las empresas y por tanto, provoca que muchas de ellas desaparezcan. </w:t>
      </w:r>
    </w:p>
    <w:p w:rsidR="00985781" w:rsidRDefault="00985781" w:rsidP="00985781">
      <w:pPr>
        <w:jc w:val="both"/>
      </w:pPr>
    </w:p>
    <w:p w:rsidR="00985781" w:rsidRDefault="00985781" w:rsidP="00985781">
      <w:pPr>
        <w:jc w:val="both"/>
      </w:pPr>
      <w:r>
        <w:t xml:space="preserve">El ahorro es una magnitud fundamental para la economía de un país, pues hace posible la inversión, a la vez que posibilita el crecimiento largo plazo y ayuda a reducir las crisis económicas. </w:t>
      </w:r>
    </w:p>
    <w:p w:rsidR="00985781" w:rsidRDefault="00985781" w:rsidP="00985781">
      <w:pPr>
        <w:jc w:val="both"/>
      </w:pPr>
    </w:p>
    <w:p w:rsidR="00F27E15" w:rsidRDefault="00F27E15" w:rsidP="00F27E15"/>
    <w:p w:rsidR="007F4755" w:rsidRDefault="007F4755" w:rsidP="00F27E15"/>
    <w:p w:rsidR="007F4755" w:rsidRDefault="007F4755" w:rsidP="00F27E15"/>
    <w:p w:rsidR="007F4755" w:rsidRDefault="007F4755" w:rsidP="00F27E15"/>
    <w:p w:rsidR="007F4755" w:rsidRDefault="007F4755" w:rsidP="00F27E15"/>
    <w:p w:rsidR="007F4755" w:rsidRDefault="007F4755" w:rsidP="00F27E15"/>
    <w:p w:rsidR="007F4755" w:rsidRDefault="007F4755" w:rsidP="00F27E15"/>
    <w:p w:rsidR="007F4755" w:rsidRDefault="007F4755" w:rsidP="00F27E15"/>
    <w:p w:rsidR="007F4755" w:rsidRDefault="007F4755" w:rsidP="00F27E15"/>
    <w:p w:rsidR="007F4755" w:rsidRDefault="007F4755" w:rsidP="00F27E15"/>
    <w:p w:rsidR="007F4755" w:rsidRDefault="007F4755" w:rsidP="00F27E15"/>
    <w:p w:rsidR="007F4755" w:rsidRDefault="007F4755" w:rsidP="00F27E15"/>
    <w:p w:rsidR="007F4755" w:rsidRDefault="007F4755" w:rsidP="00F27E15"/>
    <w:p w:rsidR="007F4755" w:rsidRDefault="007F4755" w:rsidP="00F27E15"/>
    <w:p w:rsidR="007F4755" w:rsidRDefault="007F4755" w:rsidP="00F27E15"/>
    <w:p w:rsidR="00F27E15" w:rsidRPr="00016950" w:rsidRDefault="00F27E15" w:rsidP="00331C39">
      <w:pPr>
        <w:pStyle w:val="Ttulo1"/>
        <w:numPr>
          <w:ilvl w:val="0"/>
          <w:numId w:val="18"/>
        </w:numPr>
      </w:pPr>
      <w:bookmarkStart w:id="21" w:name="_Toc291939273"/>
      <w:r w:rsidRPr="00016950">
        <w:lastRenderedPageBreak/>
        <w:t>BIBLIOGRAFÍA</w:t>
      </w:r>
      <w:bookmarkEnd w:id="21"/>
    </w:p>
    <w:p w:rsidR="008136AB" w:rsidRDefault="008136AB"/>
    <w:p w:rsidR="008136AB" w:rsidRDefault="008136AB"/>
    <w:p w:rsidR="00985781" w:rsidRPr="00285C28" w:rsidRDefault="00985781" w:rsidP="00985781">
      <w:pPr>
        <w:jc w:val="both"/>
      </w:pPr>
      <w:r>
        <w:t xml:space="preserve">Alcaide, J. (2009). El ahorro interior bruto en los años 2000-2008. Distribución regional y provincial del ahorro público y privado. </w:t>
      </w:r>
      <w:r>
        <w:rPr>
          <w:i/>
        </w:rPr>
        <w:t xml:space="preserve">Cuadernos de Información Económica, </w:t>
      </w:r>
      <w:r>
        <w:t>212</w:t>
      </w:r>
      <w:r w:rsidRPr="00285C28">
        <w:t>,</w:t>
      </w:r>
      <w:r>
        <w:rPr>
          <w:i/>
        </w:rPr>
        <w:t xml:space="preserve"> </w:t>
      </w:r>
      <w:r>
        <w:t>19-45</w:t>
      </w:r>
    </w:p>
    <w:p w:rsidR="00985781" w:rsidRPr="00223CE1" w:rsidRDefault="00985781" w:rsidP="00985781">
      <w:pPr>
        <w:jc w:val="both"/>
      </w:pPr>
    </w:p>
    <w:p w:rsidR="00985781" w:rsidRPr="00BA322F" w:rsidRDefault="00985781" w:rsidP="00985781">
      <w:pPr>
        <w:jc w:val="both"/>
      </w:pPr>
      <w:r>
        <w:t xml:space="preserve">Alegre, J. y </w:t>
      </w:r>
      <w:proofErr w:type="spellStart"/>
      <w:r>
        <w:t>Pou</w:t>
      </w:r>
      <w:proofErr w:type="spellEnd"/>
      <w:r>
        <w:t xml:space="preserve">, L. (2008). El consumo y la tasa de ahorro privados de los hogares españoles: Un descomposición de los efectos edad y cohorte. </w:t>
      </w:r>
      <w:r>
        <w:rPr>
          <w:i/>
        </w:rPr>
        <w:t>Investigaciones Económicas,</w:t>
      </w:r>
      <w:r>
        <w:t xml:space="preserve"> 32 (1), 87-121</w:t>
      </w:r>
    </w:p>
    <w:p w:rsidR="00985781" w:rsidRDefault="00985781" w:rsidP="00985781">
      <w:pPr>
        <w:jc w:val="both"/>
      </w:pPr>
    </w:p>
    <w:p w:rsidR="00985781" w:rsidRPr="00E8317D" w:rsidRDefault="00985781" w:rsidP="00985781">
      <w:pPr>
        <w:jc w:val="both"/>
      </w:pPr>
      <w:r>
        <w:t xml:space="preserve">Argandoña, A. (1994). Factores determinantes del ahorro. </w:t>
      </w:r>
      <w:r>
        <w:rPr>
          <w:i/>
        </w:rPr>
        <w:t xml:space="preserve">Documentos de Investigación de IESE Business </w:t>
      </w:r>
      <w:proofErr w:type="spellStart"/>
      <w:r>
        <w:rPr>
          <w:i/>
        </w:rPr>
        <w:t>School</w:t>
      </w:r>
      <w:proofErr w:type="spellEnd"/>
      <w:r>
        <w:rPr>
          <w:i/>
        </w:rPr>
        <w:t xml:space="preserve"> – Universidad de Navarra, </w:t>
      </w:r>
      <w:r>
        <w:t>276, Septiembre</w:t>
      </w:r>
      <w:r>
        <w:rPr>
          <w:i/>
        </w:rPr>
        <w:t xml:space="preserve"> </w:t>
      </w:r>
    </w:p>
    <w:p w:rsidR="00985781" w:rsidRDefault="00985781" w:rsidP="00985781">
      <w:pPr>
        <w:jc w:val="both"/>
      </w:pPr>
    </w:p>
    <w:p w:rsidR="00985781" w:rsidRDefault="00985781" w:rsidP="00985781">
      <w:pPr>
        <w:jc w:val="both"/>
      </w:pPr>
      <w:proofErr w:type="spellStart"/>
      <w:r>
        <w:t>Armigón</w:t>
      </w:r>
      <w:proofErr w:type="spellEnd"/>
      <w:r>
        <w:t xml:space="preserve">, I. (1997). ¿Depende el ahorro familiar del comportamiento de los ahorros empresarial u público? El caso de la Unión Europea y España. </w:t>
      </w:r>
      <w:r>
        <w:rPr>
          <w:bCs/>
          <w:i/>
        </w:rPr>
        <w:t>Papeles de Economía Española</w:t>
      </w:r>
      <w:r w:rsidRPr="00E23C37">
        <w:rPr>
          <w:bCs/>
        </w:rPr>
        <w:t>, 70</w:t>
      </w:r>
      <w:r>
        <w:rPr>
          <w:bCs/>
        </w:rPr>
        <w:t>, 126-135</w:t>
      </w:r>
    </w:p>
    <w:p w:rsidR="00985781" w:rsidRDefault="00985781" w:rsidP="00985781">
      <w:pPr>
        <w:jc w:val="both"/>
      </w:pPr>
    </w:p>
    <w:p w:rsidR="00985781" w:rsidRPr="001A5F5F" w:rsidRDefault="00985781" w:rsidP="00985781">
      <w:pPr>
        <w:jc w:val="both"/>
      </w:pPr>
      <w:r>
        <w:t xml:space="preserve">Bandrés, E. y Marchante, D. J. (2005). </w:t>
      </w:r>
      <w:r>
        <w:rPr>
          <w:i/>
        </w:rPr>
        <w:t>Formación de capital.</w:t>
      </w:r>
      <w:r>
        <w:t xml:space="preserve"> En J. L. García Delgado y R. </w:t>
      </w:r>
      <w:proofErr w:type="spellStart"/>
      <w:r>
        <w:t>Myró</w:t>
      </w:r>
      <w:proofErr w:type="spellEnd"/>
      <w:r>
        <w:t xml:space="preserve"> (Dir.), Lecciones de economía española (pp. 115-136). Madrid: Thomson </w:t>
      </w:r>
      <w:proofErr w:type="spellStart"/>
      <w:r>
        <w:t>Civitas</w:t>
      </w:r>
      <w:proofErr w:type="spellEnd"/>
    </w:p>
    <w:p w:rsidR="00985781" w:rsidRDefault="00985781" w:rsidP="00985781">
      <w:pPr>
        <w:jc w:val="both"/>
      </w:pPr>
    </w:p>
    <w:p w:rsidR="00985781" w:rsidRPr="001F5562" w:rsidRDefault="00985781" w:rsidP="00985781">
      <w:pPr>
        <w:jc w:val="both"/>
      </w:pPr>
      <w:proofErr w:type="spellStart"/>
      <w:r w:rsidRPr="001F5562">
        <w:t>Blanchard</w:t>
      </w:r>
      <w:proofErr w:type="spellEnd"/>
      <w:r w:rsidRPr="001F5562">
        <w:t xml:space="preserve">, O. (2006). </w:t>
      </w:r>
      <w:r w:rsidRPr="001F5562">
        <w:rPr>
          <w:i/>
        </w:rPr>
        <w:t xml:space="preserve">Macroeconomía </w:t>
      </w:r>
      <w:r w:rsidRPr="001F5562">
        <w:t>(4ª ed.)</w:t>
      </w:r>
      <w:r>
        <w:t>. Madrid: Pearson Prentice Hall</w:t>
      </w:r>
    </w:p>
    <w:p w:rsidR="00985781" w:rsidRDefault="00985781" w:rsidP="00985781">
      <w:pPr>
        <w:jc w:val="both"/>
      </w:pPr>
    </w:p>
    <w:p w:rsidR="00985781" w:rsidRPr="002C42DD" w:rsidRDefault="00985781" w:rsidP="00985781">
      <w:pPr>
        <w:jc w:val="both"/>
        <w:rPr>
          <w:i/>
        </w:rPr>
      </w:pPr>
      <w:r>
        <w:t xml:space="preserve">Boletín Oficial del Estado (2010). </w:t>
      </w:r>
      <w:r>
        <w:rPr>
          <w:i/>
        </w:rPr>
        <w:t>Real decreto-ley 8/2010 de 20 de mayo por el que se adoptan medidas extraordinarias para la reducción del déficit público, 126, 45070-45128</w:t>
      </w:r>
    </w:p>
    <w:p w:rsidR="00985781" w:rsidRDefault="00985781" w:rsidP="00985781">
      <w:pPr>
        <w:jc w:val="both"/>
      </w:pPr>
    </w:p>
    <w:p w:rsidR="00985781" w:rsidRPr="00285C28" w:rsidRDefault="00985781" w:rsidP="00985781">
      <w:pPr>
        <w:jc w:val="both"/>
      </w:pPr>
      <w:proofErr w:type="spellStart"/>
      <w:r w:rsidRPr="00285C28">
        <w:t>Ca</w:t>
      </w:r>
      <w:r>
        <w:t>r</w:t>
      </w:r>
      <w:r w:rsidRPr="00285C28">
        <w:t>bó</w:t>
      </w:r>
      <w:proofErr w:type="spellEnd"/>
      <w:r w:rsidRPr="00285C28">
        <w:t xml:space="preserve">, S. Y Rodríguez, F. </w:t>
      </w:r>
      <w:r>
        <w:t xml:space="preserve">(2002). ¿Qué sucede con el ahorro y la riqueza de los hogares? Previsiones para España en 2002. </w:t>
      </w:r>
      <w:r>
        <w:rPr>
          <w:i/>
        </w:rPr>
        <w:t xml:space="preserve">Cuadernos de Información Económica, </w:t>
      </w:r>
      <w:r w:rsidRPr="00285C28">
        <w:t>170,</w:t>
      </w:r>
      <w:r>
        <w:rPr>
          <w:i/>
        </w:rPr>
        <w:t xml:space="preserve"> </w:t>
      </w:r>
      <w:r>
        <w:t>18-24</w:t>
      </w:r>
    </w:p>
    <w:p w:rsidR="00985781" w:rsidRDefault="00985781" w:rsidP="00985781">
      <w:pPr>
        <w:jc w:val="both"/>
      </w:pPr>
    </w:p>
    <w:p w:rsidR="00985781" w:rsidRPr="00285C28" w:rsidRDefault="00985781" w:rsidP="00985781">
      <w:pPr>
        <w:jc w:val="both"/>
      </w:pPr>
      <w:proofErr w:type="spellStart"/>
      <w:r>
        <w:t>Carbó</w:t>
      </w:r>
      <w:proofErr w:type="spellEnd"/>
      <w:r>
        <w:t xml:space="preserve">, S. Mansilla, J. M. y Maqui, E. (2009). El ahorro financiero de los hogares españoles: Perspectivas tras el segundo año de crisis, </w:t>
      </w:r>
      <w:r>
        <w:rPr>
          <w:i/>
        </w:rPr>
        <w:t xml:space="preserve">Cuadernos de Información Económica, </w:t>
      </w:r>
      <w:r>
        <w:t>212</w:t>
      </w:r>
      <w:r w:rsidRPr="00285C28">
        <w:t>,</w:t>
      </w:r>
      <w:r>
        <w:rPr>
          <w:i/>
        </w:rPr>
        <w:t xml:space="preserve"> </w:t>
      </w:r>
      <w:r>
        <w:t xml:space="preserve"> 115-122</w:t>
      </w:r>
    </w:p>
    <w:p w:rsidR="00985781" w:rsidRPr="005E74F8" w:rsidRDefault="00985781" w:rsidP="00985781">
      <w:pPr>
        <w:jc w:val="both"/>
      </w:pPr>
    </w:p>
    <w:p w:rsidR="00985781" w:rsidRPr="00240D49" w:rsidRDefault="00985781" w:rsidP="00985781">
      <w:pPr>
        <w:jc w:val="both"/>
      </w:pPr>
      <w:r>
        <w:t xml:space="preserve">Cauces (2010). La política económica española en tiempos de crisis. </w:t>
      </w:r>
      <w:r>
        <w:rPr>
          <w:i/>
        </w:rPr>
        <w:t xml:space="preserve">Cauces: Cuadernos del Consejo Económico y Social, </w:t>
      </w:r>
      <w:r>
        <w:t>12, 6-30</w:t>
      </w:r>
    </w:p>
    <w:p w:rsidR="00985781" w:rsidRDefault="00985781" w:rsidP="00985781">
      <w:pPr>
        <w:jc w:val="both"/>
      </w:pPr>
    </w:p>
    <w:p w:rsidR="00985781" w:rsidRDefault="00985781" w:rsidP="00985781">
      <w:pPr>
        <w:jc w:val="both"/>
      </w:pPr>
      <w:r>
        <w:t xml:space="preserve">Domínguez, J. M. y Jaén, M. (2001). Ahorro familiar y fiscalidad: aspectos teóricos y evidencia empírica para el caso español, </w:t>
      </w:r>
      <w:r w:rsidRPr="00E91E91">
        <w:rPr>
          <w:i/>
        </w:rPr>
        <w:t>Papeles de Economía Española</w:t>
      </w:r>
      <w:r>
        <w:t>, 87, 258-270</w:t>
      </w:r>
    </w:p>
    <w:p w:rsidR="00985781" w:rsidRDefault="00985781" w:rsidP="00985781">
      <w:pPr>
        <w:jc w:val="both"/>
      </w:pPr>
    </w:p>
    <w:p w:rsidR="00985781" w:rsidRDefault="00985781" w:rsidP="00985781">
      <w:pPr>
        <w:jc w:val="both"/>
      </w:pPr>
      <w:r>
        <w:t xml:space="preserve">Domínguez, J. M. y López, R. (2007). Ahorro, inversión y necesidad de financiación, </w:t>
      </w:r>
      <w:r w:rsidRPr="00E91E91">
        <w:rPr>
          <w:i/>
        </w:rPr>
        <w:t>Papeles de Economía Española</w:t>
      </w:r>
      <w:r>
        <w:t>, 111, 198-215</w:t>
      </w:r>
    </w:p>
    <w:p w:rsidR="00985781" w:rsidRPr="005E74F8" w:rsidRDefault="00985781" w:rsidP="00985781">
      <w:pPr>
        <w:jc w:val="both"/>
        <w:rPr>
          <w:bCs/>
        </w:rPr>
      </w:pPr>
    </w:p>
    <w:p w:rsidR="00985781" w:rsidRDefault="00985781" w:rsidP="00985781">
      <w:pPr>
        <w:jc w:val="both"/>
      </w:pPr>
      <w:r>
        <w:rPr>
          <w:bCs/>
        </w:rPr>
        <w:t>García Montalvo</w:t>
      </w:r>
      <w:r w:rsidRPr="00C40AD2">
        <w:rPr>
          <w:bCs/>
        </w:rPr>
        <w:t xml:space="preserve">, </w:t>
      </w:r>
      <w:r>
        <w:rPr>
          <w:bCs/>
        </w:rPr>
        <w:t>J</w:t>
      </w:r>
      <w:r w:rsidRPr="00C40AD2">
        <w:rPr>
          <w:bCs/>
        </w:rPr>
        <w:t>. (200</w:t>
      </w:r>
      <w:r>
        <w:rPr>
          <w:bCs/>
        </w:rPr>
        <w:t>8</w:t>
      </w:r>
      <w:r w:rsidRPr="00C40AD2">
        <w:rPr>
          <w:bCs/>
        </w:rPr>
        <w:t>)</w:t>
      </w:r>
      <w:r>
        <w:rPr>
          <w:bCs/>
        </w:rPr>
        <w:t xml:space="preserve">. </w:t>
      </w:r>
      <w:r>
        <w:rPr>
          <w:i/>
          <w:iCs/>
        </w:rPr>
        <w:t>De la quiebra inmobiliaria al colapso financiero. Crónica de un desenlace anunciado</w:t>
      </w:r>
      <w:r w:rsidRPr="00C40AD2">
        <w:rPr>
          <w:i/>
          <w:iCs/>
        </w:rPr>
        <w:t xml:space="preserve">. </w:t>
      </w:r>
      <w:r>
        <w:rPr>
          <w:iCs/>
        </w:rPr>
        <w:t xml:space="preserve">Barcelona: </w:t>
      </w:r>
      <w:r>
        <w:t>Antoni Bosch</w:t>
      </w:r>
    </w:p>
    <w:p w:rsidR="00985781" w:rsidRDefault="00985781" w:rsidP="00985781">
      <w:pPr>
        <w:jc w:val="both"/>
      </w:pPr>
    </w:p>
    <w:p w:rsidR="00985781" w:rsidRDefault="00985781" w:rsidP="00985781">
      <w:pPr>
        <w:jc w:val="both"/>
        <w:rPr>
          <w:bCs/>
        </w:rPr>
      </w:pPr>
      <w:r>
        <w:rPr>
          <w:bCs/>
        </w:rPr>
        <w:t>García Montalvo</w:t>
      </w:r>
      <w:r w:rsidRPr="00C40AD2">
        <w:rPr>
          <w:bCs/>
        </w:rPr>
        <w:t xml:space="preserve">, </w:t>
      </w:r>
      <w:r>
        <w:rPr>
          <w:bCs/>
        </w:rPr>
        <w:t>J</w:t>
      </w:r>
      <w:r w:rsidRPr="00C40AD2">
        <w:rPr>
          <w:bCs/>
        </w:rPr>
        <w:t>. (200</w:t>
      </w:r>
      <w:r>
        <w:rPr>
          <w:bCs/>
        </w:rPr>
        <w:t>9</w:t>
      </w:r>
      <w:r w:rsidRPr="00C40AD2">
        <w:rPr>
          <w:bCs/>
        </w:rPr>
        <w:t>)</w:t>
      </w:r>
      <w:r>
        <w:rPr>
          <w:bCs/>
        </w:rPr>
        <w:t xml:space="preserve">. </w:t>
      </w:r>
      <w:r>
        <w:rPr>
          <w:bCs/>
          <w:i/>
        </w:rPr>
        <w:t xml:space="preserve">Los orígenes inmobiliarios de la crisis económica actual. </w:t>
      </w:r>
      <w:r>
        <w:rPr>
          <w:bCs/>
        </w:rPr>
        <w:t>En Cabrales et al. (Ed.) La crisis de la economía española (Pp. 21-57). Disponible en:</w:t>
      </w:r>
    </w:p>
    <w:p w:rsidR="00985781" w:rsidRPr="00CB6F71" w:rsidRDefault="00D503A4" w:rsidP="00985781">
      <w:pPr>
        <w:autoSpaceDE w:val="0"/>
        <w:autoSpaceDN w:val="0"/>
        <w:adjustRightInd w:val="0"/>
        <w:jc w:val="both"/>
        <w:rPr>
          <w:color w:val="000000"/>
        </w:rPr>
      </w:pPr>
      <w:hyperlink r:id="rId47" w:history="1">
        <w:r w:rsidR="00985781" w:rsidRPr="00104435">
          <w:rPr>
            <w:rStyle w:val="Hipervnculo"/>
            <w:rFonts w:eastAsiaTheme="majorEastAsia"/>
          </w:rPr>
          <w:t>http://www.econ.upf.edu/~montalvo/vivienda/Ebook_Crisis_SA.pdf</w:t>
        </w:r>
      </w:hyperlink>
      <w:r w:rsidR="00985781">
        <w:rPr>
          <w:color w:val="0000FF"/>
        </w:rPr>
        <w:t xml:space="preserve"> </w:t>
      </w:r>
    </w:p>
    <w:p w:rsidR="00985781" w:rsidRDefault="00985781" w:rsidP="00985781">
      <w:pPr>
        <w:jc w:val="both"/>
      </w:pPr>
    </w:p>
    <w:p w:rsidR="00985781" w:rsidRDefault="00985781" w:rsidP="00985781">
      <w:pPr>
        <w:jc w:val="both"/>
      </w:pPr>
      <w:r>
        <w:t xml:space="preserve">Garrido, R., Mañas, E., De Lucio, J. y Peinado, M L. (2003). </w:t>
      </w:r>
      <w:r w:rsidRPr="00483962">
        <w:rPr>
          <w:i/>
        </w:rPr>
        <w:t>Análisis del entorno económico de la empresa.</w:t>
      </w:r>
      <w:r>
        <w:t xml:space="preserve"> Madrid: Pirámide</w:t>
      </w:r>
    </w:p>
    <w:p w:rsidR="00985781" w:rsidRDefault="00985781" w:rsidP="00985781">
      <w:pPr>
        <w:jc w:val="both"/>
      </w:pPr>
    </w:p>
    <w:p w:rsidR="00985781" w:rsidRPr="00C43413" w:rsidRDefault="00985781" w:rsidP="00985781">
      <w:pPr>
        <w:jc w:val="both"/>
        <w:rPr>
          <w:i/>
        </w:rPr>
      </w:pPr>
      <w:proofErr w:type="spellStart"/>
      <w:r>
        <w:lastRenderedPageBreak/>
        <w:t>Garrison</w:t>
      </w:r>
      <w:proofErr w:type="spellEnd"/>
      <w:r>
        <w:t xml:space="preserve">, R. W. (2005). Ciclos Económicos: El enfoque austriaco. </w:t>
      </w:r>
      <w:r w:rsidRPr="00C43413">
        <w:rPr>
          <w:i/>
        </w:rPr>
        <w:t>Instituto Universitario ESEADE,</w:t>
      </w:r>
      <w:r>
        <w:t xml:space="preserve"> </w:t>
      </w:r>
      <w:r>
        <w:rPr>
          <w:i/>
        </w:rPr>
        <w:t xml:space="preserve">Revista Libertas XII, </w:t>
      </w:r>
      <w:r w:rsidRPr="00647449">
        <w:t>43</w:t>
      </w:r>
      <w:r>
        <w:rPr>
          <w:i/>
        </w:rPr>
        <w:t xml:space="preserve">. </w:t>
      </w:r>
    </w:p>
    <w:p w:rsidR="00985781" w:rsidRDefault="00985781" w:rsidP="00985781">
      <w:pPr>
        <w:jc w:val="both"/>
      </w:pPr>
    </w:p>
    <w:p w:rsidR="00985781" w:rsidRPr="00AC37B7" w:rsidRDefault="00985781" w:rsidP="00985781">
      <w:pPr>
        <w:jc w:val="both"/>
      </w:pPr>
      <w:r>
        <w:t xml:space="preserve">Huerta de Soto, J. (2009). </w:t>
      </w:r>
      <w:r>
        <w:rPr>
          <w:i/>
        </w:rPr>
        <w:t xml:space="preserve">Dinero, Crédito Bancario y Ciclos Económicos </w:t>
      </w:r>
      <w:r>
        <w:t>(4ª ed.)</w:t>
      </w:r>
      <w:r>
        <w:rPr>
          <w:i/>
        </w:rPr>
        <w:t xml:space="preserve">. </w:t>
      </w:r>
      <w:r>
        <w:t xml:space="preserve">Madrid: Unión Editorial </w:t>
      </w:r>
    </w:p>
    <w:p w:rsidR="00985781" w:rsidRDefault="00985781" w:rsidP="00985781">
      <w:pPr>
        <w:jc w:val="both"/>
      </w:pPr>
    </w:p>
    <w:p w:rsidR="00985781" w:rsidRDefault="00985781" w:rsidP="00985781">
      <w:pPr>
        <w:jc w:val="both"/>
      </w:pPr>
      <w:r>
        <w:t>Laborda, A</w:t>
      </w:r>
      <w:r w:rsidRPr="00285C28">
        <w:t xml:space="preserve">. </w:t>
      </w:r>
      <w:r>
        <w:t xml:space="preserve">(2008). ¿Es bueno ahorrar en tiempos de crisis? </w:t>
      </w:r>
      <w:r>
        <w:rPr>
          <w:i/>
        </w:rPr>
        <w:t xml:space="preserve">Cuadernos de Información Económica, </w:t>
      </w:r>
      <w:r>
        <w:t>206</w:t>
      </w:r>
      <w:r w:rsidRPr="00285C28">
        <w:t>,</w:t>
      </w:r>
      <w:r>
        <w:rPr>
          <w:i/>
        </w:rPr>
        <w:t xml:space="preserve"> </w:t>
      </w:r>
      <w:r>
        <w:t xml:space="preserve"> 1-5</w:t>
      </w:r>
    </w:p>
    <w:p w:rsidR="00985781" w:rsidRDefault="00985781" w:rsidP="00985781">
      <w:pPr>
        <w:jc w:val="both"/>
      </w:pPr>
    </w:p>
    <w:p w:rsidR="00985781" w:rsidRPr="00285C28" w:rsidRDefault="00985781" w:rsidP="00985781">
      <w:pPr>
        <w:jc w:val="both"/>
      </w:pPr>
      <w:r>
        <w:t>Laborda, A</w:t>
      </w:r>
      <w:r w:rsidRPr="00285C28">
        <w:t xml:space="preserve">. </w:t>
      </w:r>
      <w:r>
        <w:t xml:space="preserve">(2009). El ahorro, viable clave en los procesos de ajuste de la economía española, </w:t>
      </w:r>
      <w:r>
        <w:rPr>
          <w:i/>
        </w:rPr>
        <w:t xml:space="preserve">Cuadernos de Información Económica, </w:t>
      </w:r>
      <w:r>
        <w:t>121</w:t>
      </w:r>
      <w:r w:rsidRPr="00285C28">
        <w:t>,</w:t>
      </w:r>
      <w:r>
        <w:rPr>
          <w:i/>
        </w:rPr>
        <w:t xml:space="preserve"> </w:t>
      </w:r>
      <w:r>
        <w:t xml:space="preserve"> 1-18</w:t>
      </w:r>
    </w:p>
    <w:p w:rsidR="00985781" w:rsidRDefault="00985781" w:rsidP="00985781">
      <w:pPr>
        <w:jc w:val="both"/>
      </w:pPr>
    </w:p>
    <w:p w:rsidR="00985781" w:rsidRDefault="00985781" w:rsidP="00985781">
      <w:pPr>
        <w:jc w:val="both"/>
      </w:pPr>
      <w:r>
        <w:t xml:space="preserve">La Caixa (2010). </w:t>
      </w:r>
      <w:r w:rsidRPr="00A676D9">
        <w:rPr>
          <w:i/>
        </w:rPr>
        <w:t>Informe Mensual</w:t>
      </w:r>
      <w:r>
        <w:t>. Abril, 59-65</w:t>
      </w:r>
    </w:p>
    <w:p w:rsidR="00985781" w:rsidRPr="00C40AD2" w:rsidRDefault="00985781" w:rsidP="00985781">
      <w:pPr>
        <w:jc w:val="both"/>
      </w:pPr>
    </w:p>
    <w:p w:rsidR="00985781" w:rsidRPr="00240D49" w:rsidRDefault="00985781" w:rsidP="00985781">
      <w:pPr>
        <w:jc w:val="both"/>
        <w:rPr>
          <w:bCs/>
        </w:rPr>
      </w:pPr>
      <w:r>
        <w:rPr>
          <w:bCs/>
        </w:rPr>
        <w:t xml:space="preserve">Marchante, A. y Ortega, B. (1998). Diferencias regionales en el ahorro de las familias y distribución de la renta en España. </w:t>
      </w:r>
      <w:r>
        <w:rPr>
          <w:bCs/>
          <w:i/>
        </w:rPr>
        <w:t>Estudios regionales</w:t>
      </w:r>
      <w:proofErr w:type="gramStart"/>
      <w:r>
        <w:rPr>
          <w:bCs/>
          <w:i/>
        </w:rPr>
        <w:t>,</w:t>
      </w:r>
      <w:r>
        <w:rPr>
          <w:bCs/>
        </w:rPr>
        <w:t>52</w:t>
      </w:r>
      <w:proofErr w:type="gramEnd"/>
      <w:r>
        <w:rPr>
          <w:bCs/>
        </w:rPr>
        <w:t>, 51-76</w:t>
      </w:r>
    </w:p>
    <w:p w:rsidR="00985781" w:rsidRDefault="00985781" w:rsidP="00985781">
      <w:pPr>
        <w:jc w:val="both"/>
        <w:rPr>
          <w:bCs/>
        </w:rPr>
      </w:pPr>
    </w:p>
    <w:p w:rsidR="00985781" w:rsidRDefault="00985781" w:rsidP="00985781">
      <w:pPr>
        <w:jc w:val="both"/>
        <w:rPr>
          <w:bCs/>
        </w:rPr>
      </w:pPr>
      <w:proofErr w:type="spellStart"/>
      <w:r>
        <w:rPr>
          <w:bCs/>
        </w:rPr>
        <w:t>Naredo</w:t>
      </w:r>
      <w:proofErr w:type="spellEnd"/>
      <w:r>
        <w:rPr>
          <w:bCs/>
        </w:rPr>
        <w:t xml:space="preserve">, J. M. Carpintero, O. y Marcos, C. (2009) </w:t>
      </w:r>
      <w:r>
        <w:t xml:space="preserve">Patrimonio en vivienda y ahorro de los hogares en el final del ciclo inmobiliario. </w:t>
      </w:r>
      <w:r>
        <w:rPr>
          <w:i/>
        </w:rPr>
        <w:t xml:space="preserve">Cuadernos de Información Económica, </w:t>
      </w:r>
      <w:r>
        <w:t>212, 55-67</w:t>
      </w:r>
    </w:p>
    <w:p w:rsidR="00985781" w:rsidRDefault="00985781" w:rsidP="00985781">
      <w:pPr>
        <w:jc w:val="both"/>
        <w:rPr>
          <w:bCs/>
        </w:rPr>
      </w:pPr>
    </w:p>
    <w:p w:rsidR="00985781" w:rsidRPr="00B71DFA" w:rsidRDefault="00985781" w:rsidP="00985781">
      <w:pPr>
        <w:jc w:val="both"/>
        <w:rPr>
          <w:bCs/>
        </w:rPr>
      </w:pPr>
      <w:r>
        <w:rPr>
          <w:bCs/>
        </w:rPr>
        <w:t xml:space="preserve">Núñez, J. A. (2007). </w:t>
      </w:r>
      <w:r w:rsidRPr="00B71DFA">
        <w:rPr>
          <w:bCs/>
          <w:i/>
        </w:rPr>
        <w:t>Consumo y ahorro de los hogares jóvenes. Evidencia para España</w:t>
      </w:r>
      <w:r>
        <w:rPr>
          <w:bCs/>
        </w:rPr>
        <w:t xml:space="preserve">, Málaga: </w:t>
      </w:r>
      <w:r w:rsidRPr="00B71DFA">
        <w:rPr>
          <w:bCs/>
        </w:rPr>
        <w:t>Cuadernos de Ciencias Económicas y Empresariales (Universidad de Málaga</w:t>
      </w:r>
      <w:r>
        <w:rPr>
          <w:bCs/>
        </w:rPr>
        <w:t>)</w:t>
      </w:r>
    </w:p>
    <w:p w:rsidR="00985781" w:rsidRDefault="00985781" w:rsidP="00985781">
      <w:pPr>
        <w:jc w:val="both"/>
        <w:rPr>
          <w:bCs/>
        </w:rPr>
      </w:pPr>
    </w:p>
    <w:p w:rsidR="00985781" w:rsidRPr="00E23C37" w:rsidRDefault="00985781" w:rsidP="00985781">
      <w:pPr>
        <w:jc w:val="both"/>
        <w:rPr>
          <w:bCs/>
        </w:rPr>
      </w:pPr>
      <w:r w:rsidRPr="00474071">
        <w:rPr>
          <w:bCs/>
        </w:rPr>
        <w:t xml:space="preserve">Oliver, J. Raymond, J .L. y </w:t>
      </w:r>
      <w:proofErr w:type="spellStart"/>
      <w:r w:rsidRPr="00474071">
        <w:rPr>
          <w:bCs/>
        </w:rPr>
        <w:t>Pujolar</w:t>
      </w:r>
      <w:proofErr w:type="spellEnd"/>
      <w:r w:rsidRPr="00474071">
        <w:rPr>
          <w:bCs/>
        </w:rPr>
        <w:t xml:space="preserve">, D. </w:t>
      </w:r>
      <w:r>
        <w:rPr>
          <w:bCs/>
        </w:rPr>
        <w:t xml:space="preserve">(1997). El ahorro de las familias en España: Una perspectiva de ciclo vital, </w:t>
      </w:r>
      <w:r>
        <w:rPr>
          <w:bCs/>
          <w:i/>
        </w:rPr>
        <w:t>Papeles de Economía Española</w:t>
      </w:r>
      <w:r w:rsidRPr="00E23C37">
        <w:rPr>
          <w:bCs/>
        </w:rPr>
        <w:t>, 70</w:t>
      </w:r>
      <w:r>
        <w:rPr>
          <w:bCs/>
        </w:rPr>
        <w:t>, 55-83</w:t>
      </w:r>
    </w:p>
    <w:p w:rsidR="00985781" w:rsidRDefault="00985781" w:rsidP="00985781">
      <w:pPr>
        <w:jc w:val="both"/>
        <w:rPr>
          <w:bCs/>
        </w:rPr>
      </w:pPr>
    </w:p>
    <w:p w:rsidR="00985781" w:rsidRDefault="00985781" w:rsidP="00985781">
      <w:pPr>
        <w:jc w:val="both"/>
        <w:rPr>
          <w:bCs/>
        </w:rPr>
      </w:pPr>
      <w:r>
        <w:rPr>
          <w:bCs/>
        </w:rPr>
        <w:t xml:space="preserve">Otero, J. M. (1993). </w:t>
      </w:r>
      <w:r w:rsidRPr="0057328F">
        <w:rPr>
          <w:bCs/>
          <w:i/>
        </w:rPr>
        <w:t>Econometría. Series temporales y predicción</w:t>
      </w:r>
      <w:r>
        <w:rPr>
          <w:bCs/>
        </w:rPr>
        <w:t>. Madrid: Editorial AC</w:t>
      </w:r>
    </w:p>
    <w:p w:rsidR="00985781" w:rsidRPr="00474071" w:rsidRDefault="00985781" w:rsidP="00985781">
      <w:pPr>
        <w:jc w:val="both"/>
        <w:rPr>
          <w:bCs/>
        </w:rPr>
      </w:pPr>
    </w:p>
    <w:p w:rsidR="00985781" w:rsidRPr="000873F3" w:rsidRDefault="00985781" w:rsidP="00985781">
      <w:pPr>
        <w:jc w:val="both"/>
        <w:rPr>
          <w:bCs/>
        </w:rPr>
      </w:pPr>
      <w:r>
        <w:rPr>
          <w:bCs/>
        </w:rPr>
        <w:t xml:space="preserve">Pérez, J. y Pulido, A. (2001). </w:t>
      </w:r>
      <w:r>
        <w:rPr>
          <w:bCs/>
          <w:i/>
        </w:rPr>
        <w:t xml:space="preserve">Modelos econométricos. </w:t>
      </w:r>
      <w:r>
        <w:rPr>
          <w:bCs/>
        </w:rPr>
        <w:t>Madrid: Pirámide</w:t>
      </w:r>
    </w:p>
    <w:p w:rsidR="00985781" w:rsidRDefault="00985781" w:rsidP="00985781">
      <w:pPr>
        <w:jc w:val="both"/>
        <w:rPr>
          <w:bCs/>
        </w:rPr>
      </w:pPr>
    </w:p>
    <w:p w:rsidR="00985781" w:rsidRPr="00A676D9" w:rsidRDefault="00985781" w:rsidP="00985781">
      <w:pPr>
        <w:jc w:val="both"/>
        <w:rPr>
          <w:bCs/>
        </w:rPr>
      </w:pPr>
      <w:r>
        <w:rPr>
          <w:bCs/>
        </w:rPr>
        <w:t xml:space="preserve">Pérez, F. (Dir.) (2004). </w:t>
      </w:r>
      <w:r>
        <w:rPr>
          <w:bCs/>
          <w:i/>
        </w:rPr>
        <w:t xml:space="preserve">La competitividad de la economía española: Inflación, productividad y especialización. </w:t>
      </w:r>
      <w:r>
        <w:rPr>
          <w:bCs/>
        </w:rPr>
        <w:t>Barcelona: Servicio de Estudios La Caixa</w:t>
      </w:r>
    </w:p>
    <w:p w:rsidR="00985781" w:rsidRDefault="00985781" w:rsidP="00985781">
      <w:pPr>
        <w:jc w:val="both"/>
        <w:rPr>
          <w:bCs/>
        </w:rPr>
      </w:pPr>
    </w:p>
    <w:p w:rsidR="00985781" w:rsidRDefault="00985781" w:rsidP="00985781">
      <w:pPr>
        <w:jc w:val="both"/>
        <w:rPr>
          <w:bCs/>
        </w:rPr>
      </w:pPr>
      <w:r>
        <w:rPr>
          <w:bCs/>
        </w:rPr>
        <w:t xml:space="preserve">Raymond, J. L. (1997). Una aproximación macroeconómica al ahorro. Del círculo virtuoso de la riqueza al círculo virtuoso de la pobreza, </w:t>
      </w:r>
      <w:r>
        <w:rPr>
          <w:bCs/>
          <w:i/>
        </w:rPr>
        <w:t>Papeles de Economía Española</w:t>
      </w:r>
      <w:r w:rsidRPr="00E23C37">
        <w:rPr>
          <w:bCs/>
        </w:rPr>
        <w:t>, 70</w:t>
      </w:r>
      <w:r>
        <w:rPr>
          <w:bCs/>
        </w:rPr>
        <w:t>, 152-171</w:t>
      </w:r>
    </w:p>
    <w:p w:rsidR="00985781" w:rsidRDefault="00985781" w:rsidP="00985781">
      <w:pPr>
        <w:jc w:val="both"/>
        <w:rPr>
          <w:bCs/>
        </w:rPr>
      </w:pPr>
    </w:p>
    <w:p w:rsidR="00985781" w:rsidRDefault="00985781" w:rsidP="00985781">
      <w:pPr>
        <w:jc w:val="both"/>
        <w:rPr>
          <w:bCs/>
        </w:rPr>
      </w:pPr>
      <w:r>
        <w:rPr>
          <w:bCs/>
        </w:rPr>
        <w:t xml:space="preserve">Raymond, J. L. (2004). El ahorro en España, </w:t>
      </w:r>
      <w:r>
        <w:rPr>
          <w:bCs/>
          <w:i/>
        </w:rPr>
        <w:t>Papeles de Economía Española</w:t>
      </w:r>
      <w:r w:rsidRPr="00E23C37">
        <w:rPr>
          <w:bCs/>
        </w:rPr>
        <w:t xml:space="preserve">, </w:t>
      </w:r>
      <w:r>
        <w:rPr>
          <w:bCs/>
        </w:rPr>
        <w:t>100, 166-183</w:t>
      </w:r>
    </w:p>
    <w:p w:rsidR="00985781" w:rsidRDefault="00985781" w:rsidP="00985781">
      <w:pPr>
        <w:jc w:val="both"/>
      </w:pPr>
    </w:p>
    <w:p w:rsidR="00985781" w:rsidRDefault="00985781" w:rsidP="00985781">
      <w:pPr>
        <w:jc w:val="both"/>
      </w:pPr>
      <w:proofErr w:type="spellStart"/>
      <w:r w:rsidRPr="0057328F">
        <w:t>Requijo</w:t>
      </w:r>
      <w:proofErr w:type="spellEnd"/>
      <w:r w:rsidRPr="0057328F">
        <w:t xml:space="preserve">, J. (2009). </w:t>
      </w:r>
      <w:r>
        <w:t xml:space="preserve">En torno a la financiación del déficit exterior español. </w:t>
      </w:r>
      <w:r>
        <w:rPr>
          <w:i/>
        </w:rPr>
        <w:t xml:space="preserve">Boletín Económico de ICE, </w:t>
      </w:r>
      <w:r>
        <w:t>2968, 1 al 15 de julio,</w:t>
      </w:r>
      <w:r w:rsidRPr="00C43413">
        <w:t xml:space="preserve"> </w:t>
      </w:r>
      <w:r>
        <w:t>11-17</w:t>
      </w:r>
    </w:p>
    <w:p w:rsidR="007465F1" w:rsidRPr="00985781" w:rsidRDefault="007465F1" w:rsidP="00985781">
      <w:pPr>
        <w:jc w:val="both"/>
      </w:pPr>
    </w:p>
    <w:p w:rsidR="00985781" w:rsidRPr="00CF70A4" w:rsidRDefault="00985781" w:rsidP="00985781">
      <w:pPr>
        <w:jc w:val="both"/>
      </w:pPr>
      <w:proofErr w:type="spellStart"/>
      <w:r>
        <w:t>Santesmases</w:t>
      </w:r>
      <w:proofErr w:type="spellEnd"/>
      <w:r>
        <w:t xml:space="preserve">, M. (2009). </w:t>
      </w:r>
      <w:r>
        <w:rPr>
          <w:i/>
        </w:rPr>
        <w:t xml:space="preserve">DYANE versión 4: Diseño y análisis de encuestas en investigación social y de mercado. </w:t>
      </w:r>
      <w:r>
        <w:t>Madrid: Pirámide</w:t>
      </w:r>
    </w:p>
    <w:p w:rsidR="00985781" w:rsidRDefault="00985781" w:rsidP="00985781">
      <w:pPr>
        <w:jc w:val="both"/>
      </w:pPr>
    </w:p>
    <w:p w:rsidR="00985781" w:rsidRPr="00474071" w:rsidRDefault="00985781" w:rsidP="00985781">
      <w:pPr>
        <w:jc w:val="both"/>
      </w:pPr>
      <w:r>
        <w:t xml:space="preserve">Sastre, T. y Martínez, J. (2008). Estructura de la renta y disponibilidad de ahorro en España: Un análisis con datos de hogares. </w:t>
      </w:r>
      <w:r>
        <w:rPr>
          <w:i/>
        </w:rPr>
        <w:t xml:space="preserve">Boletín Económico del Banco de España, </w:t>
      </w:r>
      <w:r>
        <w:t>Abril, 91-106</w:t>
      </w:r>
    </w:p>
    <w:p w:rsidR="00985781" w:rsidRDefault="00985781" w:rsidP="00985781">
      <w:pPr>
        <w:jc w:val="both"/>
      </w:pPr>
    </w:p>
    <w:p w:rsidR="00985781" w:rsidRPr="001A5F5F" w:rsidRDefault="00985781" w:rsidP="00985781">
      <w:pPr>
        <w:jc w:val="both"/>
      </w:pPr>
      <w:proofErr w:type="spellStart"/>
      <w:r>
        <w:t>Taltavull</w:t>
      </w:r>
      <w:proofErr w:type="spellEnd"/>
      <w:r>
        <w:t xml:space="preserve">, P. (2005) </w:t>
      </w:r>
      <w:r>
        <w:rPr>
          <w:i/>
        </w:rPr>
        <w:t>Sector construcción y mercado de la vivienda.</w:t>
      </w:r>
      <w:r>
        <w:t xml:space="preserve"> En J. L. García Delgado y R. </w:t>
      </w:r>
      <w:proofErr w:type="spellStart"/>
      <w:r>
        <w:t>Myró</w:t>
      </w:r>
      <w:proofErr w:type="spellEnd"/>
      <w:r>
        <w:t xml:space="preserve"> (Dir.), Lecciones de economía española (pp. 267-282). Madrid: Thomson </w:t>
      </w:r>
      <w:proofErr w:type="spellStart"/>
      <w:r>
        <w:t>Civitas</w:t>
      </w:r>
      <w:proofErr w:type="spellEnd"/>
    </w:p>
    <w:p w:rsidR="00985781" w:rsidRDefault="00985781" w:rsidP="00985781">
      <w:pPr>
        <w:jc w:val="both"/>
      </w:pPr>
    </w:p>
    <w:p w:rsidR="008136AB" w:rsidRPr="007465F1" w:rsidRDefault="00985781" w:rsidP="007465F1">
      <w:pPr>
        <w:jc w:val="both"/>
      </w:pPr>
      <w:proofErr w:type="spellStart"/>
      <w:r w:rsidRPr="005370E5">
        <w:t>Uxó</w:t>
      </w:r>
      <w:proofErr w:type="spellEnd"/>
      <w:r w:rsidRPr="005370E5">
        <w:t>, J.</w:t>
      </w:r>
      <w:r>
        <w:t xml:space="preserve"> (2010). </w:t>
      </w:r>
      <w:r w:rsidRPr="005370E5">
        <w:rPr>
          <w:i/>
        </w:rPr>
        <w:t>Ahorro</w:t>
      </w:r>
      <w:r>
        <w:t xml:space="preserve">. En </w:t>
      </w:r>
      <w:r>
        <w:rPr>
          <w:i/>
        </w:rPr>
        <w:t xml:space="preserve"> Enciclopedia de Economía, Finanzas y Negocios. </w:t>
      </w:r>
      <w:r w:rsidRPr="005370E5">
        <w:t xml:space="preserve">(Vol.1, </w:t>
      </w:r>
      <w:r>
        <w:t>p</w:t>
      </w:r>
      <w:r w:rsidRPr="005370E5">
        <w:t>p.</w:t>
      </w:r>
      <w:r>
        <w:t>416-420).</w:t>
      </w:r>
      <w:r w:rsidRPr="005370E5">
        <w:rPr>
          <w:i/>
        </w:rPr>
        <w:t xml:space="preserve"> </w:t>
      </w:r>
      <w:r w:rsidRPr="005370E5">
        <w:t xml:space="preserve">Madrid: CISS,  </w:t>
      </w:r>
      <w:proofErr w:type="spellStart"/>
      <w:r w:rsidRPr="005370E5">
        <w:t>Wolters</w:t>
      </w:r>
      <w:proofErr w:type="spellEnd"/>
      <w:r w:rsidRPr="005370E5">
        <w:t xml:space="preserve"> </w:t>
      </w:r>
      <w:proofErr w:type="spellStart"/>
      <w:r w:rsidRPr="005370E5">
        <w:t>Kluwer</w:t>
      </w:r>
      <w:proofErr w:type="spellEnd"/>
    </w:p>
    <w:p w:rsidR="008136AB" w:rsidRPr="005E74F8" w:rsidRDefault="008136AB"/>
    <w:p w:rsidR="008136AB" w:rsidRPr="005E74F8" w:rsidRDefault="008136AB"/>
    <w:p w:rsidR="00FE4AFD" w:rsidRPr="005E74F8" w:rsidRDefault="00FE4AFD"/>
    <w:p w:rsidR="00FE4AFD" w:rsidRPr="005E74F8" w:rsidRDefault="00FE4AFD"/>
    <w:sectPr w:rsidR="00FE4AFD" w:rsidRPr="005E74F8">
      <w:footerReference w:type="default" r:id="rId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A4" w:rsidRDefault="00D503A4" w:rsidP="00791D0F">
      <w:r>
        <w:separator/>
      </w:r>
    </w:p>
  </w:endnote>
  <w:endnote w:type="continuationSeparator" w:id="0">
    <w:p w:rsidR="00D503A4" w:rsidRDefault="00D503A4" w:rsidP="0079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730025"/>
      <w:docPartObj>
        <w:docPartGallery w:val="Page Numbers (Bottom of Page)"/>
        <w:docPartUnique/>
      </w:docPartObj>
    </w:sdtPr>
    <w:sdtEndPr/>
    <w:sdtContent>
      <w:p w:rsidR="0044221C" w:rsidRDefault="0044221C">
        <w:pPr>
          <w:pStyle w:val="Piedepgina"/>
          <w:jc w:val="center"/>
        </w:pPr>
        <w:r>
          <w:fldChar w:fldCharType="begin"/>
        </w:r>
        <w:r>
          <w:instrText>PAGE   \* MERGEFORMAT</w:instrText>
        </w:r>
        <w:r>
          <w:fldChar w:fldCharType="separate"/>
        </w:r>
        <w:r w:rsidR="008A546C">
          <w:rPr>
            <w:noProof/>
          </w:rPr>
          <w:t>1</w:t>
        </w:r>
        <w:r>
          <w:fldChar w:fldCharType="end"/>
        </w:r>
      </w:p>
    </w:sdtContent>
  </w:sdt>
  <w:p w:rsidR="0044221C" w:rsidRDefault="00442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A4" w:rsidRDefault="00D503A4" w:rsidP="00791D0F">
      <w:r>
        <w:separator/>
      </w:r>
    </w:p>
  </w:footnote>
  <w:footnote w:type="continuationSeparator" w:id="0">
    <w:p w:rsidR="00D503A4" w:rsidRDefault="00D503A4" w:rsidP="00791D0F">
      <w:r>
        <w:continuationSeparator/>
      </w:r>
    </w:p>
  </w:footnote>
  <w:footnote w:id="1">
    <w:p w:rsidR="0044221C" w:rsidRPr="002544D7" w:rsidRDefault="0044221C" w:rsidP="00647951">
      <w:pPr>
        <w:pStyle w:val="Textonotapie"/>
        <w:jc w:val="both"/>
        <w:rPr>
          <w:sz w:val="18"/>
        </w:rPr>
      </w:pPr>
      <w:r w:rsidRPr="002544D7">
        <w:rPr>
          <w:rStyle w:val="Refdenotaalpie"/>
          <w:sz w:val="18"/>
        </w:rPr>
        <w:footnoteRef/>
      </w:r>
      <w:r w:rsidRPr="002544D7">
        <w:rPr>
          <w:sz w:val="18"/>
        </w:rPr>
        <w:t xml:space="preserve"> Este artículo tiene su origen en el trabajo “La Tasa de Ahorro de los Hogares Españoles ante la Crisis Económica: Análisis de sus causas y efectos” que obtuvo el 24 de Noviembre de 2010 un premio Accésit en el IX Certamen Nacional Universitario “Arquímedes” de Introducción a la Investigación Científica, organizado por el Ministerio de Educación.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D5"/>
    <w:multiLevelType w:val="hybridMultilevel"/>
    <w:tmpl w:val="872E6648"/>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
    <w:nsid w:val="0B393A25"/>
    <w:multiLevelType w:val="hybridMultilevel"/>
    <w:tmpl w:val="DB5E597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B4D47F5"/>
    <w:multiLevelType w:val="hybridMultilevel"/>
    <w:tmpl w:val="6772F2E4"/>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
    <w:nsid w:val="0D800F9D"/>
    <w:multiLevelType w:val="multilevel"/>
    <w:tmpl w:val="52528B9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487920"/>
    <w:multiLevelType w:val="hybridMultilevel"/>
    <w:tmpl w:val="14AA20DC"/>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5">
    <w:nsid w:val="256A096B"/>
    <w:multiLevelType w:val="hybridMultilevel"/>
    <w:tmpl w:val="C3FE8F42"/>
    <w:lvl w:ilvl="0" w:tplc="C2D633B6">
      <w:start w:val="1"/>
      <w:numFmt w:val="decimal"/>
      <w:lvlText w:val="%1."/>
      <w:lvlJc w:val="left"/>
      <w:pPr>
        <w:ind w:left="360" w:hanging="360"/>
      </w:pPr>
      <w:rPr>
        <w:rFonts w:hint="default"/>
      </w:rPr>
    </w:lvl>
    <w:lvl w:ilvl="1" w:tplc="0D7A5A8A">
      <w:start w:val="1"/>
      <w:numFmt w:val="decimal"/>
      <w:lvlText w:val="%2.1"/>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B545D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9E474B"/>
    <w:multiLevelType w:val="hybridMultilevel"/>
    <w:tmpl w:val="971451B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FA135BB"/>
    <w:multiLevelType w:val="hybridMultilevel"/>
    <w:tmpl w:val="E5A6D6EE"/>
    <w:lvl w:ilvl="0" w:tplc="5826008C">
      <w:start w:val="4"/>
      <w:numFmt w:val="decimal"/>
      <w:lvlText w:val="%1.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3178CD"/>
    <w:multiLevelType w:val="hybridMultilevel"/>
    <w:tmpl w:val="313058C6"/>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0">
    <w:nsid w:val="43E44481"/>
    <w:multiLevelType w:val="multilevel"/>
    <w:tmpl w:val="BB44A40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F057AF"/>
    <w:multiLevelType w:val="multilevel"/>
    <w:tmpl w:val="25324018"/>
    <w:lvl w:ilvl="0">
      <w:start w:val="1"/>
      <w:numFmt w:val="decimal"/>
      <w:lvlText w:val="%1."/>
      <w:lvlJc w:val="left"/>
      <w:pPr>
        <w:ind w:left="360" w:hanging="360"/>
      </w:p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6876149"/>
    <w:multiLevelType w:val="hybridMultilevel"/>
    <w:tmpl w:val="D5129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2A62D7"/>
    <w:multiLevelType w:val="multilevel"/>
    <w:tmpl w:val="25324018"/>
    <w:lvl w:ilvl="0">
      <w:start w:val="1"/>
      <w:numFmt w:val="decimal"/>
      <w:lvlText w:val="%1."/>
      <w:lvlJc w:val="left"/>
      <w:pPr>
        <w:ind w:left="360" w:hanging="360"/>
      </w:p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86B398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3C674F"/>
    <w:multiLevelType w:val="multilevel"/>
    <w:tmpl w:val="1722BEE6"/>
    <w:lvl w:ilvl="0">
      <w:start w:val="4"/>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EF1045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833A73"/>
    <w:multiLevelType w:val="hybridMultilevel"/>
    <w:tmpl w:val="F618AD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8">
    <w:nsid w:val="67D4794B"/>
    <w:multiLevelType w:val="multilevel"/>
    <w:tmpl w:val="25324018"/>
    <w:lvl w:ilvl="0">
      <w:start w:val="1"/>
      <w:numFmt w:val="decimal"/>
      <w:lvlText w:val="%1."/>
      <w:lvlJc w:val="left"/>
      <w:pPr>
        <w:ind w:left="360" w:hanging="360"/>
      </w:p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FB70FA2"/>
    <w:multiLevelType w:val="hybridMultilevel"/>
    <w:tmpl w:val="FBEE89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15"/>
  </w:num>
  <w:num w:numId="5">
    <w:abstractNumId w:val="3"/>
  </w:num>
  <w:num w:numId="6">
    <w:abstractNumId w:val="6"/>
  </w:num>
  <w:num w:numId="7">
    <w:abstractNumId w:val="14"/>
  </w:num>
  <w:num w:numId="8">
    <w:abstractNumId w:val="16"/>
  </w:num>
  <w:num w:numId="9">
    <w:abstractNumId w:val="10"/>
  </w:num>
  <w:num w:numId="10">
    <w:abstractNumId w:val="12"/>
  </w:num>
  <w:num w:numId="11">
    <w:abstractNumId w:val="0"/>
  </w:num>
  <w:num w:numId="12">
    <w:abstractNumId w:val="9"/>
  </w:num>
  <w:num w:numId="13">
    <w:abstractNumId w:val="7"/>
  </w:num>
  <w:num w:numId="14">
    <w:abstractNumId w:val="19"/>
  </w:num>
  <w:num w:numId="15">
    <w:abstractNumId w:val="2"/>
  </w:num>
  <w:num w:numId="16">
    <w:abstractNumId w:val="4"/>
  </w:num>
  <w:num w:numId="17">
    <w:abstractNumId w:val="1"/>
  </w:num>
  <w:num w:numId="18">
    <w:abstractNumId w:val="13"/>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25"/>
    <w:rsid w:val="00016950"/>
    <w:rsid w:val="00026E95"/>
    <w:rsid w:val="00042519"/>
    <w:rsid w:val="00053F9D"/>
    <w:rsid w:val="00054F01"/>
    <w:rsid w:val="000866AA"/>
    <w:rsid w:val="00090697"/>
    <w:rsid w:val="000A1F73"/>
    <w:rsid w:val="000C03CC"/>
    <w:rsid w:val="000C2A81"/>
    <w:rsid w:val="000C6F52"/>
    <w:rsid w:val="000D4E39"/>
    <w:rsid w:val="000D59F0"/>
    <w:rsid w:val="0011042E"/>
    <w:rsid w:val="00130925"/>
    <w:rsid w:val="00136311"/>
    <w:rsid w:val="001419DC"/>
    <w:rsid w:val="00151483"/>
    <w:rsid w:val="00157A0C"/>
    <w:rsid w:val="0016114A"/>
    <w:rsid w:val="00172DA5"/>
    <w:rsid w:val="00176262"/>
    <w:rsid w:val="001A5FEF"/>
    <w:rsid w:val="001C2297"/>
    <w:rsid w:val="001C4898"/>
    <w:rsid w:val="001C6103"/>
    <w:rsid w:val="001E1B4B"/>
    <w:rsid w:val="001E416D"/>
    <w:rsid w:val="001E4C51"/>
    <w:rsid w:val="001F15B4"/>
    <w:rsid w:val="001F1D71"/>
    <w:rsid w:val="002158EC"/>
    <w:rsid w:val="00216C33"/>
    <w:rsid w:val="002213ED"/>
    <w:rsid w:val="00232630"/>
    <w:rsid w:val="0023575E"/>
    <w:rsid w:val="0023737F"/>
    <w:rsid w:val="00250326"/>
    <w:rsid w:val="002544D7"/>
    <w:rsid w:val="00280519"/>
    <w:rsid w:val="002858A3"/>
    <w:rsid w:val="0028689E"/>
    <w:rsid w:val="00297D8F"/>
    <w:rsid w:val="002A5CFE"/>
    <w:rsid w:val="003070BA"/>
    <w:rsid w:val="00314B0E"/>
    <w:rsid w:val="00331C39"/>
    <w:rsid w:val="00344BD3"/>
    <w:rsid w:val="003637FB"/>
    <w:rsid w:val="00384713"/>
    <w:rsid w:val="003A23D5"/>
    <w:rsid w:val="003A2EF8"/>
    <w:rsid w:val="003D6681"/>
    <w:rsid w:val="003F27D5"/>
    <w:rsid w:val="00405D5B"/>
    <w:rsid w:val="00427F62"/>
    <w:rsid w:val="0044221C"/>
    <w:rsid w:val="00450754"/>
    <w:rsid w:val="00464694"/>
    <w:rsid w:val="00477632"/>
    <w:rsid w:val="00481A69"/>
    <w:rsid w:val="004912BB"/>
    <w:rsid w:val="004C781B"/>
    <w:rsid w:val="004D1F8D"/>
    <w:rsid w:val="00501AED"/>
    <w:rsid w:val="00502D7C"/>
    <w:rsid w:val="00503241"/>
    <w:rsid w:val="005575E6"/>
    <w:rsid w:val="005B1EE4"/>
    <w:rsid w:val="005E7001"/>
    <w:rsid w:val="005E72A6"/>
    <w:rsid w:val="005E74F8"/>
    <w:rsid w:val="005F712E"/>
    <w:rsid w:val="005F78A9"/>
    <w:rsid w:val="00605C64"/>
    <w:rsid w:val="006145CF"/>
    <w:rsid w:val="00615C97"/>
    <w:rsid w:val="00617791"/>
    <w:rsid w:val="0063396C"/>
    <w:rsid w:val="00647951"/>
    <w:rsid w:val="006860B0"/>
    <w:rsid w:val="006B44D3"/>
    <w:rsid w:val="006C21FE"/>
    <w:rsid w:val="006C62DC"/>
    <w:rsid w:val="006C6DDA"/>
    <w:rsid w:val="006D1B4C"/>
    <w:rsid w:val="006E1D0C"/>
    <w:rsid w:val="006F0864"/>
    <w:rsid w:val="00712A7C"/>
    <w:rsid w:val="00724A42"/>
    <w:rsid w:val="007465F1"/>
    <w:rsid w:val="00754998"/>
    <w:rsid w:val="00765B56"/>
    <w:rsid w:val="00774660"/>
    <w:rsid w:val="00791D0F"/>
    <w:rsid w:val="007958AD"/>
    <w:rsid w:val="007A1425"/>
    <w:rsid w:val="007C2F70"/>
    <w:rsid w:val="007F225A"/>
    <w:rsid w:val="007F2D75"/>
    <w:rsid w:val="007F2D7F"/>
    <w:rsid w:val="007F4755"/>
    <w:rsid w:val="008136AB"/>
    <w:rsid w:val="00814F39"/>
    <w:rsid w:val="00842804"/>
    <w:rsid w:val="008554B8"/>
    <w:rsid w:val="008A546C"/>
    <w:rsid w:val="008B22DF"/>
    <w:rsid w:val="008C1A23"/>
    <w:rsid w:val="008C3A50"/>
    <w:rsid w:val="008F4E67"/>
    <w:rsid w:val="00914C98"/>
    <w:rsid w:val="00935D58"/>
    <w:rsid w:val="009478D0"/>
    <w:rsid w:val="00985781"/>
    <w:rsid w:val="00987F05"/>
    <w:rsid w:val="009912A2"/>
    <w:rsid w:val="009B430F"/>
    <w:rsid w:val="009B76A2"/>
    <w:rsid w:val="009D5DC6"/>
    <w:rsid w:val="009D691D"/>
    <w:rsid w:val="009E1EBC"/>
    <w:rsid w:val="009E2D71"/>
    <w:rsid w:val="00A04CA4"/>
    <w:rsid w:val="00A12026"/>
    <w:rsid w:val="00A1301C"/>
    <w:rsid w:val="00A14B85"/>
    <w:rsid w:val="00A3424E"/>
    <w:rsid w:val="00A44566"/>
    <w:rsid w:val="00A7116F"/>
    <w:rsid w:val="00A82FB4"/>
    <w:rsid w:val="00A8799D"/>
    <w:rsid w:val="00A87AC8"/>
    <w:rsid w:val="00A9476A"/>
    <w:rsid w:val="00A97774"/>
    <w:rsid w:val="00AA118D"/>
    <w:rsid w:val="00AA559F"/>
    <w:rsid w:val="00AB7DB6"/>
    <w:rsid w:val="00B0590C"/>
    <w:rsid w:val="00B352D5"/>
    <w:rsid w:val="00B613E5"/>
    <w:rsid w:val="00B97DD4"/>
    <w:rsid w:val="00BB02A2"/>
    <w:rsid w:val="00C33F95"/>
    <w:rsid w:val="00C446F4"/>
    <w:rsid w:val="00C44829"/>
    <w:rsid w:val="00C50D5F"/>
    <w:rsid w:val="00C74CBA"/>
    <w:rsid w:val="00C77DE5"/>
    <w:rsid w:val="00C82B68"/>
    <w:rsid w:val="00C85289"/>
    <w:rsid w:val="00CC2358"/>
    <w:rsid w:val="00CF1C85"/>
    <w:rsid w:val="00CF76B2"/>
    <w:rsid w:val="00CF7E1B"/>
    <w:rsid w:val="00D03EB8"/>
    <w:rsid w:val="00D07AE6"/>
    <w:rsid w:val="00D12B3F"/>
    <w:rsid w:val="00D26FD0"/>
    <w:rsid w:val="00D30D74"/>
    <w:rsid w:val="00D503A4"/>
    <w:rsid w:val="00D5128C"/>
    <w:rsid w:val="00D64968"/>
    <w:rsid w:val="00D72805"/>
    <w:rsid w:val="00D77EEC"/>
    <w:rsid w:val="00D94881"/>
    <w:rsid w:val="00D9593C"/>
    <w:rsid w:val="00DA2249"/>
    <w:rsid w:val="00DA4632"/>
    <w:rsid w:val="00DB279F"/>
    <w:rsid w:val="00DC06F5"/>
    <w:rsid w:val="00DD3E4E"/>
    <w:rsid w:val="00DF0C30"/>
    <w:rsid w:val="00DF7F21"/>
    <w:rsid w:val="00E14054"/>
    <w:rsid w:val="00E1546D"/>
    <w:rsid w:val="00E1699A"/>
    <w:rsid w:val="00E3660B"/>
    <w:rsid w:val="00E453E6"/>
    <w:rsid w:val="00E4593E"/>
    <w:rsid w:val="00E5591C"/>
    <w:rsid w:val="00E770D3"/>
    <w:rsid w:val="00E85F1A"/>
    <w:rsid w:val="00E86738"/>
    <w:rsid w:val="00EB774E"/>
    <w:rsid w:val="00EC214C"/>
    <w:rsid w:val="00ED7CD9"/>
    <w:rsid w:val="00F03535"/>
    <w:rsid w:val="00F0472B"/>
    <w:rsid w:val="00F17F83"/>
    <w:rsid w:val="00F27E15"/>
    <w:rsid w:val="00F335BB"/>
    <w:rsid w:val="00F37487"/>
    <w:rsid w:val="00F552AB"/>
    <w:rsid w:val="00F55FB3"/>
    <w:rsid w:val="00FA5E38"/>
    <w:rsid w:val="00FB35B9"/>
    <w:rsid w:val="00FC11C9"/>
    <w:rsid w:val="00FE4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ED"/>
    <w:pPr>
      <w:spacing w:after="0" w:line="240" w:lineRule="auto"/>
    </w:pPr>
    <w:rPr>
      <w:rFonts w:ascii="Arial" w:eastAsia="Times New Roman" w:hAnsi="Arial" w:cs="Times New Roman"/>
      <w:szCs w:val="24"/>
      <w:lang w:eastAsia="es-ES"/>
    </w:rPr>
  </w:style>
  <w:style w:type="paragraph" w:styleId="Ttulo1">
    <w:name w:val="heading 1"/>
    <w:basedOn w:val="Normal"/>
    <w:next w:val="Normal"/>
    <w:link w:val="Ttulo1Car"/>
    <w:uiPriority w:val="9"/>
    <w:qFormat/>
    <w:rsid w:val="00813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136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F712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02D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2213ED"/>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2213ED"/>
    <w:rPr>
      <w:rFonts w:asciiTheme="majorHAnsi" w:eastAsiaTheme="majorEastAsia" w:hAnsiTheme="majorHAnsi" w:cstheme="majorBidi"/>
      <w:i/>
      <w:iCs/>
      <w:color w:val="4F81BD" w:themeColor="accent1"/>
      <w:spacing w:val="15"/>
      <w:sz w:val="24"/>
      <w:szCs w:val="24"/>
      <w:lang w:eastAsia="es-ES"/>
    </w:rPr>
  </w:style>
  <w:style w:type="paragraph" w:styleId="Textonotapie">
    <w:name w:val="footnote text"/>
    <w:basedOn w:val="Normal"/>
    <w:link w:val="TextonotapieCar"/>
    <w:uiPriority w:val="99"/>
    <w:semiHidden/>
    <w:unhideWhenUsed/>
    <w:rsid w:val="00791D0F"/>
    <w:rPr>
      <w:sz w:val="20"/>
      <w:szCs w:val="20"/>
    </w:rPr>
  </w:style>
  <w:style w:type="character" w:customStyle="1" w:styleId="TextonotapieCar">
    <w:name w:val="Texto nota pie Car"/>
    <w:basedOn w:val="Fuentedeprrafopredeter"/>
    <w:link w:val="Textonotapie"/>
    <w:uiPriority w:val="99"/>
    <w:semiHidden/>
    <w:rsid w:val="00791D0F"/>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791D0F"/>
    <w:rPr>
      <w:vertAlign w:val="superscript"/>
    </w:rPr>
  </w:style>
  <w:style w:type="character" w:customStyle="1" w:styleId="Ttulo1Car">
    <w:name w:val="Título 1 Car"/>
    <w:basedOn w:val="Fuentedeprrafopredeter"/>
    <w:link w:val="Ttulo1"/>
    <w:uiPriority w:val="9"/>
    <w:rsid w:val="008136AB"/>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8136AB"/>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D03EB8"/>
    <w:pPr>
      <w:tabs>
        <w:tab w:val="center" w:pos="4252"/>
        <w:tab w:val="right" w:pos="8504"/>
      </w:tabs>
    </w:pPr>
  </w:style>
  <w:style w:type="character" w:customStyle="1" w:styleId="EncabezadoCar">
    <w:name w:val="Encabezado Car"/>
    <w:basedOn w:val="Fuentedeprrafopredeter"/>
    <w:link w:val="Encabezado"/>
    <w:uiPriority w:val="99"/>
    <w:rsid w:val="00D03EB8"/>
    <w:rPr>
      <w:rFonts w:ascii="Arial" w:eastAsia="Times New Roman" w:hAnsi="Arial" w:cs="Times New Roman"/>
      <w:szCs w:val="24"/>
      <w:lang w:eastAsia="es-ES"/>
    </w:rPr>
  </w:style>
  <w:style w:type="paragraph" w:styleId="Piedepgina">
    <w:name w:val="footer"/>
    <w:basedOn w:val="Normal"/>
    <w:link w:val="PiedepginaCar"/>
    <w:uiPriority w:val="99"/>
    <w:unhideWhenUsed/>
    <w:rsid w:val="00D03EB8"/>
    <w:pPr>
      <w:tabs>
        <w:tab w:val="center" w:pos="4252"/>
        <w:tab w:val="right" w:pos="8504"/>
      </w:tabs>
    </w:pPr>
  </w:style>
  <w:style w:type="character" w:customStyle="1" w:styleId="PiedepginaCar">
    <w:name w:val="Pie de página Car"/>
    <w:basedOn w:val="Fuentedeprrafopredeter"/>
    <w:link w:val="Piedepgina"/>
    <w:uiPriority w:val="99"/>
    <w:rsid w:val="00D03EB8"/>
    <w:rPr>
      <w:rFonts w:ascii="Arial" w:eastAsia="Times New Roman" w:hAnsi="Arial" w:cs="Times New Roman"/>
      <w:szCs w:val="24"/>
      <w:lang w:eastAsia="es-ES"/>
    </w:rPr>
  </w:style>
  <w:style w:type="character" w:customStyle="1" w:styleId="Ttulo3Car">
    <w:name w:val="Título 3 Car"/>
    <w:basedOn w:val="Fuentedeprrafopredeter"/>
    <w:link w:val="Ttulo3"/>
    <w:uiPriority w:val="9"/>
    <w:rsid w:val="005F712E"/>
    <w:rPr>
      <w:rFonts w:asciiTheme="majorHAnsi" w:eastAsiaTheme="majorEastAsia" w:hAnsiTheme="majorHAnsi" w:cstheme="majorBidi"/>
      <w:b/>
      <w:bCs/>
      <w:color w:val="4F81BD" w:themeColor="accent1"/>
      <w:szCs w:val="24"/>
      <w:lang w:eastAsia="es-ES"/>
    </w:rPr>
  </w:style>
  <w:style w:type="paragraph" w:styleId="Prrafodelista">
    <w:name w:val="List Paragraph"/>
    <w:basedOn w:val="Normal"/>
    <w:uiPriority w:val="34"/>
    <w:qFormat/>
    <w:rsid w:val="00FB35B9"/>
    <w:pPr>
      <w:ind w:left="708"/>
    </w:pPr>
    <w:rPr>
      <w:rFonts w:ascii="Times New Roman" w:hAnsi="Times New Roman"/>
      <w:sz w:val="24"/>
      <w:lang w:val="es-ES_tradnl" w:eastAsia="es-ES_tradnl"/>
    </w:rPr>
  </w:style>
  <w:style w:type="paragraph" w:styleId="Textodeglobo">
    <w:name w:val="Balloon Text"/>
    <w:basedOn w:val="Normal"/>
    <w:link w:val="TextodegloboCar"/>
    <w:uiPriority w:val="99"/>
    <w:semiHidden/>
    <w:unhideWhenUsed/>
    <w:rsid w:val="00FB35B9"/>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5B9"/>
    <w:rPr>
      <w:rFonts w:ascii="Tahoma" w:eastAsia="Times New Roman" w:hAnsi="Tahoma" w:cs="Tahoma"/>
      <w:sz w:val="16"/>
      <w:szCs w:val="16"/>
      <w:lang w:eastAsia="es-ES"/>
    </w:rPr>
  </w:style>
  <w:style w:type="character" w:customStyle="1" w:styleId="Ttulo4Car">
    <w:name w:val="Título 4 Car"/>
    <w:basedOn w:val="Fuentedeprrafopredeter"/>
    <w:link w:val="Ttulo4"/>
    <w:uiPriority w:val="9"/>
    <w:rsid w:val="00502D7C"/>
    <w:rPr>
      <w:rFonts w:asciiTheme="majorHAnsi" w:eastAsiaTheme="majorEastAsia" w:hAnsiTheme="majorHAnsi" w:cstheme="majorBidi"/>
      <w:b/>
      <w:bCs/>
      <w:i/>
      <w:iCs/>
      <w:color w:val="4F81BD" w:themeColor="accent1"/>
      <w:szCs w:val="24"/>
      <w:lang w:eastAsia="es-ES"/>
    </w:rPr>
  </w:style>
  <w:style w:type="character" w:styleId="Hipervnculo">
    <w:name w:val="Hyperlink"/>
    <w:uiPriority w:val="99"/>
    <w:rsid w:val="00985781"/>
    <w:rPr>
      <w:color w:val="0000FF"/>
      <w:u w:val="single"/>
    </w:rPr>
  </w:style>
  <w:style w:type="paragraph" w:styleId="TtulodeTDC">
    <w:name w:val="TOC Heading"/>
    <w:basedOn w:val="Ttulo1"/>
    <w:next w:val="Normal"/>
    <w:uiPriority w:val="39"/>
    <w:semiHidden/>
    <w:unhideWhenUsed/>
    <w:qFormat/>
    <w:rsid w:val="006B44D3"/>
    <w:pPr>
      <w:spacing w:line="276" w:lineRule="auto"/>
      <w:outlineLvl w:val="9"/>
    </w:pPr>
  </w:style>
  <w:style w:type="paragraph" w:styleId="ndice1">
    <w:name w:val="index 1"/>
    <w:basedOn w:val="Normal"/>
    <w:next w:val="Normal"/>
    <w:autoRedefine/>
    <w:uiPriority w:val="99"/>
    <w:semiHidden/>
    <w:unhideWhenUsed/>
    <w:rsid w:val="006B44D3"/>
    <w:pPr>
      <w:ind w:left="220" w:hanging="220"/>
    </w:pPr>
  </w:style>
  <w:style w:type="paragraph" w:styleId="TDC1">
    <w:name w:val="toc 1"/>
    <w:basedOn w:val="Normal"/>
    <w:next w:val="Normal"/>
    <w:autoRedefine/>
    <w:uiPriority w:val="39"/>
    <w:unhideWhenUsed/>
    <w:rsid w:val="006B44D3"/>
    <w:pPr>
      <w:spacing w:after="100"/>
    </w:pPr>
  </w:style>
  <w:style w:type="paragraph" w:styleId="TDC2">
    <w:name w:val="toc 2"/>
    <w:basedOn w:val="Normal"/>
    <w:next w:val="Normal"/>
    <w:autoRedefine/>
    <w:uiPriority w:val="39"/>
    <w:unhideWhenUsed/>
    <w:rsid w:val="006B44D3"/>
    <w:pPr>
      <w:spacing w:after="100"/>
      <w:ind w:left="220"/>
    </w:pPr>
  </w:style>
  <w:style w:type="paragraph" w:styleId="TDC3">
    <w:name w:val="toc 3"/>
    <w:basedOn w:val="Normal"/>
    <w:next w:val="Normal"/>
    <w:autoRedefine/>
    <w:uiPriority w:val="39"/>
    <w:unhideWhenUsed/>
    <w:rsid w:val="006B44D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ED"/>
    <w:pPr>
      <w:spacing w:after="0" w:line="240" w:lineRule="auto"/>
    </w:pPr>
    <w:rPr>
      <w:rFonts w:ascii="Arial" w:eastAsia="Times New Roman" w:hAnsi="Arial" w:cs="Times New Roman"/>
      <w:szCs w:val="24"/>
      <w:lang w:eastAsia="es-ES"/>
    </w:rPr>
  </w:style>
  <w:style w:type="paragraph" w:styleId="Ttulo1">
    <w:name w:val="heading 1"/>
    <w:basedOn w:val="Normal"/>
    <w:next w:val="Normal"/>
    <w:link w:val="Ttulo1Car"/>
    <w:uiPriority w:val="9"/>
    <w:qFormat/>
    <w:rsid w:val="00813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136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F712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02D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2213ED"/>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2213ED"/>
    <w:rPr>
      <w:rFonts w:asciiTheme="majorHAnsi" w:eastAsiaTheme="majorEastAsia" w:hAnsiTheme="majorHAnsi" w:cstheme="majorBidi"/>
      <w:i/>
      <w:iCs/>
      <w:color w:val="4F81BD" w:themeColor="accent1"/>
      <w:spacing w:val="15"/>
      <w:sz w:val="24"/>
      <w:szCs w:val="24"/>
      <w:lang w:eastAsia="es-ES"/>
    </w:rPr>
  </w:style>
  <w:style w:type="paragraph" w:styleId="Textonotapie">
    <w:name w:val="footnote text"/>
    <w:basedOn w:val="Normal"/>
    <w:link w:val="TextonotapieCar"/>
    <w:uiPriority w:val="99"/>
    <w:semiHidden/>
    <w:unhideWhenUsed/>
    <w:rsid w:val="00791D0F"/>
    <w:rPr>
      <w:sz w:val="20"/>
      <w:szCs w:val="20"/>
    </w:rPr>
  </w:style>
  <w:style w:type="character" w:customStyle="1" w:styleId="TextonotapieCar">
    <w:name w:val="Texto nota pie Car"/>
    <w:basedOn w:val="Fuentedeprrafopredeter"/>
    <w:link w:val="Textonotapie"/>
    <w:uiPriority w:val="99"/>
    <w:semiHidden/>
    <w:rsid w:val="00791D0F"/>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791D0F"/>
    <w:rPr>
      <w:vertAlign w:val="superscript"/>
    </w:rPr>
  </w:style>
  <w:style w:type="character" w:customStyle="1" w:styleId="Ttulo1Car">
    <w:name w:val="Título 1 Car"/>
    <w:basedOn w:val="Fuentedeprrafopredeter"/>
    <w:link w:val="Ttulo1"/>
    <w:uiPriority w:val="9"/>
    <w:rsid w:val="008136AB"/>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8136AB"/>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D03EB8"/>
    <w:pPr>
      <w:tabs>
        <w:tab w:val="center" w:pos="4252"/>
        <w:tab w:val="right" w:pos="8504"/>
      </w:tabs>
    </w:pPr>
  </w:style>
  <w:style w:type="character" w:customStyle="1" w:styleId="EncabezadoCar">
    <w:name w:val="Encabezado Car"/>
    <w:basedOn w:val="Fuentedeprrafopredeter"/>
    <w:link w:val="Encabezado"/>
    <w:uiPriority w:val="99"/>
    <w:rsid w:val="00D03EB8"/>
    <w:rPr>
      <w:rFonts w:ascii="Arial" w:eastAsia="Times New Roman" w:hAnsi="Arial" w:cs="Times New Roman"/>
      <w:szCs w:val="24"/>
      <w:lang w:eastAsia="es-ES"/>
    </w:rPr>
  </w:style>
  <w:style w:type="paragraph" w:styleId="Piedepgina">
    <w:name w:val="footer"/>
    <w:basedOn w:val="Normal"/>
    <w:link w:val="PiedepginaCar"/>
    <w:uiPriority w:val="99"/>
    <w:unhideWhenUsed/>
    <w:rsid w:val="00D03EB8"/>
    <w:pPr>
      <w:tabs>
        <w:tab w:val="center" w:pos="4252"/>
        <w:tab w:val="right" w:pos="8504"/>
      </w:tabs>
    </w:pPr>
  </w:style>
  <w:style w:type="character" w:customStyle="1" w:styleId="PiedepginaCar">
    <w:name w:val="Pie de página Car"/>
    <w:basedOn w:val="Fuentedeprrafopredeter"/>
    <w:link w:val="Piedepgina"/>
    <w:uiPriority w:val="99"/>
    <w:rsid w:val="00D03EB8"/>
    <w:rPr>
      <w:rFonts w:ascii="Arial" w:eastAsia="Times New Roman" w:hAnsi="Arial" w:cs="Times New Roman"/>
      <w:szCs w:val="24"/>
      <w:lang w:eastAsia="es-ES"/>
    </w:rPr>
  </w:style>
  <w:style w:type="character" w:customStyle="1" w:styleId="Ttulo3Car">
    <w:name w:val="Título 3 Car"/>
    <w:basedOn w:val="Fuentedeprrafopredeter"/>
    <w:link w:val="Ttulo3"/>
    <w:uiPriority w:val="9"/>
    <w:rsid w:val="005F712E"/>
    <w:rPr>
      <w:rFonts w:asciiTheme="majorHAnsi" w:eastAsiaTheme="majorEastAsia" w:hAnsiTheme="majorHAnsi" w:cstheme="majorBidi"/>
      <w:b/>
      <w:bCs/>
      <w:color w:val="4F81BD" w:themeColor="accent1"/>
      <w:szCs w:val="24"/>
      <w:lang w:eastAsia="es-ES"/>
    </w:rPr>
  </w:style>
  <w:style w:type="paragraph" w:styleId="Prrafodelista">
    <w:name w:val="List Paragraph"/>
    <w:basedOn w:val="Normal"/>
    <w:uiPriority w:val="34"/>
    <w:qFormat/>
    <w:rsid w:val="00FB35B9"/>
    <w:pPr>
      <w:ind w:left="708"/>
    </w:pPr>
    <w:rPr>
      <w:rFonts w:ascii="Times New Roman" w:hAnsi="Times New Roman"/>
      <w:sz w:val="24"/>
      <w:lang w:val="es-ES_tradnl" w:eastAsia="es-ES_tradnl"/>
    </w:rPr>
  </w:style>
  <w:style w:type="paragraph" w:styleId="Textodeglobo">
    <w:name w:val="Balloon Text"/>
    <w:basedOn w:val="Normal"/>
    <w:link w:val="TextodegloboCar"/>
    <w:uiPriority w:val="99"/>
    <w:semiHidden/>
    <w:unhideWhenUsed/>
    <w:rsid w:val="00FB35B9"/>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5B9"/>
    <w:rPr>
      <w:rFonts w:ascii="Tahoma" w:eastAsia="Times New Roman" w:hAnsi="Tahoma" w:cs="Tahoma"/>
      <w:sz w:val="16"/>
      <w:szCs w:val="16"/>
      <w:lang w:eastAsia="es-ES"/>
    </w:rPr>
  </w:style>
  <w:style w:type="character" w:customStyle="1" w:styleId="Ttulo4Car">
    <w:name w:val="Título 4 Car"/>
    <w:basedOn w:val="Fuentedeprrafopredeter"/>
    <w:link w:val="Ttulo4"/>
    <w:uiPriority w:val="9"/>
    <w:rsid w:val="00502D7C"/>
    <w:rPr>
      <w:rFonts w:asciiTheme="majorHAnsi" w:eastAsiaTheme="majorEastAsia" w:hAnsiTheme="majorHAnsi" w:cstheme="majorBidi"/>
      <w:b/>
      <w:bCs/>
      <w:i/>
      <w:iCs/>
      <w:color w:val="4F81BD" w:themeColor="accent1"/>
      <w:szCs w:val="24"/>
      <w:lang w:eastAsia="es-ES"/>
    </w:rPr>
  </w:style>
  <w:style w:type="character" w:styleId="Hipervnculo">
    <w:name w:val="Hyperlink"/>
    <w:uiPriority w:val="99"/>
    <w:rsid w:val="00985781"/>
    <w:rPr>
      <w:color w:val="0000FF"/>
      <w:u w:val="single"/>
    </w:rPr>
  </w:style>
  <w:style w:type="paragraph" w:styleId="TtulodeTDC">
    <w:name w:val="TOC Heading"/>
    <w:basedOn w:val="Ttulo1"/>
    <w:next w:val="Normal"/>
    <w:uiPriority w:val="39"/>
    <w:semiHidden/>
    <w:unhideWhenUsed/>
    <w:qFormat/>
    <w:rsid w:val="006B44D3"/>
    <w:pPr>
      <w:spacing w:line="276" w:lineRule="auto"/>
      <w:outlineLvl w:val="9"/>
    </w:pPr>
  </w:style>
  <w:style w:type="paragraph" w:styleId="ndice1">
    <w:name w:val="index 1"/>
    <w:basedOn w:val="Normal"/>
    <w:next w:val="Normal"/>
    <w:autoRedefine/>
    <w:uiPriority w:val="99"/>
    <w:semiHidden/>
    <w:unhideWhenUsed/>
    <w:rsid w:val="006B44D3"/>
    <w:pPr>
      <w:ind w:left="220" w:hanging="220"/>
    </w:pPr>
  </w:style>
  <w:style w:type="paragraph" w:styleId="TDC1">
    <w:name w:val="toc 1"/>
    <w:basedOn w:val="Normal"/>
    <w:next w:val="Normal"/>
    <w:autoRedefine/>
    <w:uiPriority w:val="39"/>
    <w:unhideWhenUsed/>
    <w:rsid w:val="006B44D3"/>
    <w:pPr>
      <w:spacing w:after="100"/>
    </w:pPr>
  </w:style>
  <w:style w:type="paragraph" w:styleId="TDC2">
    <w:name w:val="toc 2"/>
    <w:basedOn w:val="Normal"/>
    <w:next w:val="Normal"/>
    <w:autoRedefine/>
    <w:uiPriority w:val="39"/>
    <w:unhideWhenUsed/>
    <w:rsid w:val="006B44D3"/>
    <w:pPr>
      <w:spacing w:after="100"/>
      <w:ind w:left="220"/>
    </w:pPr>
  </w:style>
  <w:style w:type="paragraph" w:styleId="TDC3">
    <w:name w:val="toc 3"/>
    <w:basedOn w:val="Normal"/>
    <w:next w:val="Normal"/>
    <w:autoRedefine/>
    <w:uiPriority w:val="39"/>
    <w:unhideWhenUsed/>
    <w:rsid w:val="006B44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5.bin"/><Relationship Id="rId39" Type="http://schemas.openxmlformats.org/officeDocument/2006/relationships/image" Target="media/image20.wmf"/><Relationship Id="rId21" Type="http://schemas.openxmlformats.org/officeDocument/2006/relationships/image" Target="media/image10.wmf"/><Relationship Id="rId34" Type="http://schemas.openxmlformats.org/officeDocument/2006/relationships/oleObject" Target="embeddings/oleObject9.bin"/><Relationship Id="rId42" Type="http://schemas.openxmlformats.org/officeDocument/2006/relationships/image" Target="media/image22.png"/><Relationship Id="rId47" Type="http://schemas.openxmlformats.org/officeDocument/2006/relationships/hyperlink" Target="http://www.econ.upf.edu/~montalvo/vivienda/Ebook_Crisis_SA.pdf"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5.wmf"/><Relationship Id="rId11" Type="http://schemas.openxmlformats.org/officeDocument/2006/relationships/image" Target="media/image3.wmf"/><Relationship Id="rId24" Type="http://schemas.openxmlformats.org/officeDocument/2006/relationships/image" Target="media/image12.png"/><Relationship Id="rId32" Type="http://schemas.openxmlformats.org/officeDocument/2006/relationships/oleObject" Target="embeddings/oleObject8.bin"/><Relationship Id="rId37" Type="http://schemas.openxmlformats.org/officeDocument/2006/relationships/image" Target="media/image19.wmf"/><Relationship Id="rId40" Type="http://schemas.openxmlformats.org/officeDocument/2006/relationships/oleObject" Target="embeddings/oleObject12.bin"/><Relationship Id="rId45" Type="http://schemas.openxmlformats.org/officeDocument/2006/relationships/image" Target="media/image2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6.wmf"/><Relationship Id="rId44"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7.bin"/><Relationship Id="rId35" Type="http://schemas.openxmlformats.org/officeDocument/2006/relationships/image" Target="media/image18.wmf"/><Relationship Id="rId43" Type="http://schemas.openxmlformats.org/officeDocument/2006/relationships/image" Target="media/image23.png"/><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1.bin"/><Relationship Id="rId46" Type="http://schemas.openxmlformats.org/officeDocument/2006/relationships/image" Target="media/image26.png"/><Relationship Id="rId20" Type="http://schemas.openxmlformats.org/officeDocument/2006/relationships/oleObject" Target="embeddings/oleObject3.bin"/><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7879-FA2A-42D1-83EE-A6421116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10334</Words>
  <Characters>56837</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xxx</cp:lastModifiedBy>
  <cp:revision>173</cp:revision>
  <cp:lastPrinted>2011-05-27T07:30:00Z</cp:lastPrinted>
  <dcterms:created xsi:type="dcterms:W3CDTF">2010-12-26T18:37:00Z</dcterms:created>
  <dcterms:modified xsi:type="dcterms:W3CDTF">2011-05-27T07:30:00Z</dcterms:modified>
</cp:coreProperties>
</file>